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141" w:leftChars="0"/>
      </w:pPr>
      <w:r>
        <w:rPr>
          <w:rFonts w:hint="eastAsia"/>
        </w:rPr>
        <w:t>项目需求列表</w:t>
      </w:r>
    </w:p>
    <w:tbl>
      <w:tblPr>
        <w:tblStyle w:val="16"/>
        <w:tblW w:w="7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40"/>
        <w:gridCol w:w="1433"/>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24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模块</w:t>
            </w:r>
          </w:p>
        </w:tc>
        <w:tc>
          <w:tcPr>
            <w:tcW w:w="1433"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1701"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134"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508" w:type="dxa"/>
            <w:gridSpan w:val="5"/>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PACS软件部分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PACS服务器软件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PACS存储管理软件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RIS服务器软件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信息集成服务器软件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PACS诊断客户端软件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并发</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RIS预约登记客户端软件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并发</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RIS检查技师客户端软件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并发</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RIS诊断报告客户端软件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并发</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临床浏览客户端软件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包</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容积重建后处理软件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并发</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MPR\MIP后处理软件</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并发</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原厂实施服务</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次</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244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保修服务</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年</w:t>
            </w:r>
          </w:p>
        </w:tc>
        <w:tc>
          <w:tcPr>
            <w:tcW w:w="1134" w:type="dxa"/>
            <w:shd w:val="clear" w:color="000000" w:fill="FFFFFF"/>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508"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44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医用诊断竖屏</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44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诊断工作站</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44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虚拟化资源池</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701" w:type="dxa"/>
            <w:shd w:val="clear" w:color="000000" w:fill="FFFFFF"/>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44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光纤交换机</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1" w:type="dxa"/>
            <w:shd w:val="clear" w:color="000000" w:fill="FFFFFF"/>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44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分布式存储系统</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44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互联交换机</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701" w:type="dxa"/>
            <w:shd w:val="clear" w:color="000000" w:fill="FFFFFF"/>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44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高速存储1</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44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高速存储2</w:t>
            </w:r>
          </w:p>
        </w:tc>
        <w:tc>
          <w:tcPr>
            <w:tcW w:w="1433"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1" w:type="dxa"/>
            <w:shd w:val="clear" w:color="000000" w:fill="FFFFFF"/>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508" w:type="dxa"/>
            <w:gridSpan w:val="5"/>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44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星云后处理工作站升级</w:t>
            </w:r>
          </w:p>
        </w:tc>
        <w:tc>
          <w:tcPr>
            <w:tcW w:w="143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1134"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508" w:type="dxa"/>
            <w:gridSpan w:val="5"/>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总体服务部分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44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原厂3年保修</w:t>
            </w:r>
          </w:p>
        </w:tc>
        <w:tc>
          <w:tcPr>
            <w:tcW w:w="143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01"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次</w:t>
            </w:r>
          </w:p>
        </w:tc>
        <w:tc>
          <w:tcPr>
            <w:tcW w:w="1134" w:type="dxa"/>
            <w:shd w:val="clear" w:color="auto" w:fill="auto"/>
            <w:vAlign w:val="center"/>
          </w:tcPr>
          <w:p>
            <w:pPr>
              <w:widowControl/>
              <w:jc w:val="left"/>
              <w:rPr>
                <w:rFonts w:ascii="宋体" w:hAnsi="宋体" w:eastAsia="宋体" w:cs="宋体"/>
                <w:color w:val="000000"/>
                <w:kern w:val="0"/>
                <w:sz w:val="22"/>
              </w:rPr>
            </w:pPr>
          </w:p>
        </w:tc>
      </w:tr>
    </w:tbl>
    <w:p>
      <w:pPr>
        <w:pStyle w:val="2"/>
      </w:pPr>
      <w:r>
        <w:rPr>
          <w:rFonts w:hint="eastAsia"/>
        </w:rPr>
        <w:t>技术需求</w:t>
      </w:r>
    </w:p>
    <w:tbl>
      <w:tblPr>
        <w:tblStyle w:val="16"/>
        <w:tblW w:w="9781"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260"/>
        <w:gridCol w:w="7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jc w:val="center"/>
              <w:rPr>
                <w:rFonts w:ascii="宋体" w:hAnsi="宋体" w:eastAsia="宋体"/>
                <w:bCs/>
                <w:color w:val="000000"/>
                <w:szCs w:val="21"/>
              </w:rPr>
            </w:pPr>
            <w:r>
              <w:rPr>
                <w:rFonts w:ascii="宋体" w:hAnsi="宋体" w:eastAsia="宋体"/>
                <w:bCs/>
                <w:color w:val="000000"/>
                <w:szCs w:val="21"/>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jc w:val="center"/>
              <w:rPr>
                <w:rFonts w:ascii="宋体" w:hAnsi="宋体" w:eastAsia="宋体"/>
                <w:bCs/>
                <w:color w:val="000000"/>
                <w:szCs w:val="21"/>
              </w:rPr>
            </w:pPr>
            <w:r>
              <w:rPr>
                <w:rFonts w:ascii="宋体" w:hAnsi="宋体" w:eastAsia="宋体"/>
                <w:bCs/>
                <w:color w:val="000000"/>
                <w:szCs w:val="21"/>
              </w:rPr>
              <w:t>货物名称</w:t>
            </w:r>
          </w:p>
        </w:tc>
        <w:tc>
          <w:tcPr>
            <w:tcW w:w="77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180" w:lineRule="atLeast"/>
              <w:jc w:val="center"/>
              <w:rPr>
                <w:rFonts w:ascii="宋体" w:hAnsi="宋体" w:eastAsia="宋体"/>
                <w:bCs/>
                <w:color w:val="000000"/>
                <w:szCs w:val="21"/>
              </w:rPr>
            </w:pPr>
            <w:r>
              <w:rPr>
                <w:rFonts w:ascii="宋体" w:hAnsi="宋体" w:eastAsia="宋体"/>
                <w:bCs/>
                <w:color w:val="000000"/>
                <w:szCs w:val="21"/>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bCs/>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jc w:val="center"/>
              <w:rPr>
                <w:rFonts w:ascii="宋体" w:hAnsi="宋体" w:eastAsia="宋体"/>
                <w:bCs/>
                <w:color w:val="000000"/>
                <w:szCs w:val="21"/>
              </w:rPr>
            </w:pPr>
            <w:r>
              <w:rPr>
                <w:rFonts w:hint="eastAsia" w:ascii="宋体" w:hAnsi="宋体" w:eastAsia="宋体"/>
                <w:bCs/>
                <w:color w:val="000000"/>
                <w:szCs w:val="21"/>
              </w:rPr>
              <w:t>总体要求</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tabs>
                <w:tab w:val="left" w:pos="1386"/>
              </w:tabs>
              <w:snapToGrid w:val="0"/>
              <w:spacing w:line="180" w:lineRule="atLeast"/>
              <w:ind w:left="0" w:firstLine="420" w:firstLineChars="200"/>
              <w:contextualSpacing w:val="0"/>
              <w:rPr>
                <w:rFonts w:ascii="宋体" w:hAnsi="宋体" w:eastAsia="宋体"/>
                <w:bCs/>
                <w:szCs w:val="21"/>
              </w:rPr>
            </w:pPr>
            <w:r>
              <w:rPr>
                <w:rFonts w:hint="eastAsia" w:ascii="宋体" w:hAnsi="宋体" w:eastAsia="宋体"/>
                <w:bCs/>
                <w:szCs w:val="21"/>
              </w:rPr>
              <w:t>本项目技术参数中★项为必须满足项如不满足投标将视为无效投标。</w:t>
            </w:r>
            <w:r>
              <w:rPr>
                <w:rFonts w:hint="eastAsia" w:ascii="宋体" w:hAnsi="宋体" w:eastAsia="宋体" w:cs="宋体"/>
                <w:bCs/>
                <w:szCs w:val="21"/>
                <w:lang w:val="nl-NL"/>
              </w:rPr>
              <w:t>▲</w:t>
            </w:r>
            <w:r>
              <w:rPr>
                <w:rFonts w:hint="eastAsia" w:ascii="宋体" w:hAnsi="宋体" w:eastAsia="宋体"/>
                <w:bCs/>
                <w:szCs w:val="21"/>
              </w:rPr>
              <w:t>项为重要指标项，不作为废标项。</w:t>
            </w:r>
          </w:p>
          <w:p>
            <w:pPr>
              <w:pStyle w:val="30"/>
              <w:numPr>
                <w:ilvl w:val="0"/>
                <w:numId w:val="3"/>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w:t>
            </w:r>
            <w:r>
              <w:rPr>
                <w:rFonts w:ascii="宋体" w:hAnsi="宋体" w:eastAsia="宋体"/>
                <w:bCs/>
                <w:szCs w:val="21"/>
              </w:rPr>
              <w:t>所投放射系统软件完全满足与医院当前使用的放射系统</w:t>
            </w:r>
            <w:r>
              <w:rPr>
                <w:rFonts w:hint="eastAsia" w:ascii="宋体" w:hAnsi="宋体" w:eastAsia="宋体"/>
                <w:bCs/>
                <w:szCs w:val="21"/>
              </w:rPr>
              <w:t>功能一致</w:t>
            </w:r>
            <w:r>
              <w:rPr>
                <w:rFonts w:ascii="宋体" w:hAnsi="宋体" w:eastAsia="宋体"/>
                <w:bCs/>
                <w:szCs w:val="21"/>
              </w:rPr>
              <w:t>，</w:t>
            </w:r>
            <w:r>
              <w:rPr>
                <w:rFonts w:hint="eastAsia" w:ascii="宋体" w:hAnsi="宋体" w:eastAsia="宋体"/>
                <w:bCs/>
                <w:szCs w:val="21"/>
              </w:rPr>
              <w:t>如涉及</w:t>
            </w:r>
            <w:r>
              <w:rPr>
                <w:rFonts w:ascii="宋体" w:hAnsi="宋体" w:eastAsia="宋体"/>
                <w:bCs/>
                <w:szCs w:val="21"/>
              </w:rPr>
              <w:t>对历史影像及报告涉及数据迁移的，自行与原厂商协商接口方案、数据迁移方案，所有产生的接口及数据迁移费用由投标人承担。投标人提供承诺函并加盖本单位公章。</w:t>
            </w:r>
          </w:p>
          <w:p>
            <w:pPr>
              <w:pStyle w:val="30"/>
              <w:numPr>
                <w:ilvl w:val="0"/>
                <w:numId w:val="3"/>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采购人协调与现有PACS厂商沟通，投标时投标人须出具真实有效扩容或替换采购人现有运行厂商替换能力证明文件例如：投标人出具实现替换与采购人一致PACS系统的替换与数据迁移完成证明函，加盖实现替换医院公章，或医院现有PACS厂商提供配合</w:t>
            </w:r>
            <w:r>
              <w:rPr>
                <w:rFonts w:ascii="宋体" w:hAnsi="宋体" w:eastAsia="宋体"/>
                <w:bCs/>
                <w:szCs w:val="21"/>
              </w:rPr>
              <w:t>承诺函并加盖本单位公章</w:t>
            </w:r>
            <w:r>
              <w:rPr>
                <w:rFonts w:hint="eastAsia" w:ascii="宋体" w:hAnsi="宋体" w:eastAsia="宋体"/>
                <w:bCs/>
                <w:szCs w:val="21"/>
              </w:rPr>
              <w:t>。</w:t>
            </w:r>
          </w:p>
          <w:p>
            <w:pPr>
              <w:pStyle w:val="30"/>
              <w:numPr>
                <w:ilvl w:val="0"/>
                <w:numId w:val="3"/>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w:t>
            </w:r>
            <w:r>
              <w:rPr>
                <w:rFonts w:ascii="宋体" w:hAnsi="宋体" w:eastAsia="宋体"/>
                <w:bCs/>
                <w:szCs w:val="21"/>
              </w:rPr>
              <w:t>所投系统软件需要接入现有放射科的</w:t>
            </w:r>
            <w:r>
              <w:rPr>
                <w:rFonts w:hint="eastAsia" w:ascii="宋体" w:hAnsi="宋体" w:eastAsia="宋体"/>
                <w:bCs/>
                <w:szCs w:val="21"/>
              </w:rPr>
              <w:t>吉兆院区影像系统以及</w:t>
            </w:r>
            <w:r>
              <w:rPr>
                <w:rFonts w:ascii="宋体" w:hAnsi="宋体" w:eastAsia="宋体"/>
                <w:bCs/>
                <w:szCs w:val="21"/>
              </w:rPr>
              <w:t>所有 DICOM 影像设备接入设备所涉及的所有费用由投标人承担。投标人提供承诺函并加盖本单位公章。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bCs/>
                <w:szCs w:val="21"/>
              </w:rPr>
            </w:pPr>
            <w:r>
              <w:rPr>
                <w:rFonts w:ascii="宋体" w:hAnsi="宋体" w:eastAsia="宋体"/>
                <w:szCs w:val="21"/>
              </w:rPr>
              <w:t>PACS服务器</w:t>
            </w:r>
            <w:r>
              <w:rPr>
                <w:rFonts w:hint="eastAsia" w:ascii="宋体" w:hAnsi="宋体" w:eastAsia="宋体"/>
                <w:szCs w:val="21"/>
              </w:rPr>
              <w:t>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 xml:space="preserve">PACS 服务器软件使用 Windows </w:t>
            </w:r>
            <w:r>
              <w:rPr>
                <w:rFonts w:hint="eastAsia" w:ascii="宋体" w:hAnsi="宋体" w:eastAsia="宋体"/>
                <w:bCs/>
                <w:szCs w:val="21"/>
              </w:rPr>
              <w:t>server</w:t>
            </w:r>
            <w:r>
              <w:rPr>
                <w:rFonts w:ascii="宋体" w:hAnsi="宋体" w:eastAsia="宋体"/>
                <w:bCs/>
                <w:szCs w:val="21"/>
              </w:rPr>
              <w:t xml:space="preserve"> 2019 或更新版本的服务器版操作系统</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PACS 服务器软件使用Oracle数据库</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支持全面的 DICOM 影像类型，包括：CT、MR、CR、DR、RF、MG、DF、SC、DSA、NM、PET、ECG、US、ES 等</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服务器软件提供 DICOM Storage SCU/SCP SOP Class，可直接接收所有符合 DICOM3.0 标准的影像数据。</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提供 DICOM Patient/Study Root Find/Move 的 SOP Class，可允许多个客户端工作站同时根据患者姓名、检查设备、检查部位、影像号、检查时间日期等多种查询条件的组合形式查询与调阅影像</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可同时接收多个不同影像设备发送的数据，支持多个用户对同一影像数据的并发调阅请求</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支持影像预取和影像自动路由</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数据库应当会自动记录下列资料：所有病人及检查的相关文字资料；所有检查影像的属性资料；PACS 所有的系统参数设置，包括用户的个性化参数设置</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安全日志：提供影像数据的各种状态记录日志（影像存档、影像调阅、影像传输等），并提供相应分析工具。</w:t>
            </w:r>
          </w:p>
          <w:p>
            <w:pPr>
              <w:pStyle w:val="30"/>
              <w:widowControl/>
              <w:numPr>
                <w:ilvl w:val="0"/>
                <w:numId w:val="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支持影像教学科研影像记录的存储及管理功能，可按疾病分类进行保存并分类（提供软件界面截图证明文件）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rPr>
            </w:pPr>
            <w:r>
              <w:rPr>
                <w:rFonts w:hint="eastAsia" w:ascii="宋体" w:hAnsi="宋体" w:eastAsia="宋体"/>
                <w:szCs w:val="21"/>
              </w:rPr>
              <w:t>PACS存储管理软件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5"/>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支持影像设备的在线动态添加和管理，无需停止服务即可配置影像设备的 DICOM 参数</w:t>
            </w:r>
          </w:p>
          <w:p>
            <w:pPr>
              <w:pStyle w:val="30"/>
              <w:widowControl/>
              <w:numPr>
                <w:ilvl w:val="0"/>
                <w:numId w:val="5"/>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支持数据库的维护、备份和恢复</w:t>
            </w:r>
          </w:p>
          <w:p>
            <w:pPr>
              <w:pStyle w:val="30"/>
              <w:widowControl/>
              <w:numPr>
                <w:ilvl w:val="0"/>
                <w:numId w:val="5"/>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系统管理员权限由服务器统一管理，并发控制。只要拥有权限，可以从任意终端登陆，管理系统</w:t>
            </w:r>
          </w:p>
          <w:p>
            <w:pPr>
              <w:pStyle w:val="30"/>
              <w:widowControl/>
              <w:numPr>
                <w:ilvl w:val="0"/>
                <w:numId w:val="5"/>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支持纠正病人的相关信息，同一病人影像归并。</w:t>
            </w:r>
          </w:p>
          <w:p>
            <w:pPr>
              <w:pStyle w:val="30"/>
              <w:widowControl/>
              <w:numPr>
                <w:ilvl w:val="0"/>
                <w:numId w:val="5"/>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支持向第三方系统（如设备后处理工作站等）发送 DICOM 图像</w:t>
            </w:r>
          </w:p>
          <w:p>
            <w:pPr>
              <w:pStyle w:val="30"/>
              <w:widowControl/>
              <w:numPr>
                <w:ilvl w:val="0"/>
                <w:numId w:val="5"/>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可根据用户的需求，设置存储设备的影像删除策略。</w:t>
            </w:r>
          </w:p>
          <w:p>
            <w:pPr>
              <w:pStyle w:val="30"/>
              <w:widowControl/>
              <w:numPr>
                <w:ilvl w:val="0"/>
                <w:numId w:val="5"/>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具有自动存储管理功能，支持存储“水线”设置，即：如果系统超出或者达到存储“水线”设置值，系统将自动转存最早的数据以保障存储空间。</w:t>
            </w:r>
          </w:p>
          <w:p>
            <w:pPr>
              <w:pStyle w:val="30"/>
              <w:widowControl/>
              <w:numPr>
                <w:ilvl w:val="0"/>
                <w:numId w:val="5"/>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支持多级在线存储策略，并且能够随时调整。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rPr>
            </w:pPr>
            <w:r>
              <w:rPr>
                <w:rFonts w:hint="eastAsia" w:ascii="宋体" w:hAnsi="宋体" w:eastAsia="宋体"/>
                <w:szCs w:val="21"/>
              </w:rPr>
              <w:t>RIS服务器软件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numPr>
                <w:ilvl w:val="0"/>
                <w:numId w:val="6"/>
              </w:numPr>
              <w:tabs>
                <w:tab w:val="left" w:pos="0"/>
              </w:tabs>
              <w:autoSpaceDE w:val="0"/>
              <w:autoSpaceDN w:val="0"/>
              <w:snapToGrid w:val="0"/>
              <w:spacing w:line="180" w:lineRule="atLeast"/>
              <w:ind w:left="0" w:firstLine="0"/>
              <w:rPr>
                <w:rFonts w:ascii="宋体" w:hAnsi="宋体" w:eastAsia="宋体"/>
                <w:b/>
                <w:szCs w:val="21"/>
                <w:lang w:val="nl-NL"/>
              </w:rPr>
            </w:pPr>
            <w:r>
              <w:rPr>
                <w:rFonts w:ascii="宋体" w:hAnsi="宋体" w:eastAsia="宋体"/>
                <w:b/>
                <w:szCs w:val="21"/>
                <w:lang w:val="nl-NL"/>
              </w:rPr>
              <w:t>RIS服务器软件包：</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RIS系统服务器使用Windows 2019操作系统；</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RIS系统使用MS SQL Server 2019数据库平台；</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支持完整的DICOM Worklist工作清单服务，为所有支持DICOM Worklist接口的影像设备提供患者和检查数据；</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支持通过远程方式对系统进行管理；</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统一管理</w:t>
            </w:r>
            <w:bookmarkStart w:id="0" w:name="OLE_LINK2"/>
            <w:r>
              <w:rPr>
                <w:rFonts w:ascii="宋体" w:hAnsi="宋体" w:eastAsia="宋体"/>
                <w:bCs/>
                <w:szCs w:val="21"/>
                <w:lang w:val="nl-NL"/>
              </w:rPr>
              <w:t>病人状态、检查报告以及资源使用</w:t>
            </w:r>
            <w:bookmarkEnd w:id="0"/>
            <w:r>
              <w:rPr>
                <w:rFonts w:ascii="宋体" w:hAnsi="宋体" w:eastAsia="宋体"/>
                <w:bCs/>
                <w:szCs w:val="21"/>
                <w:lang w:val="nl-NL"/>
              </w:rPr>
              <w:t>情况；</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对系统设置、客户端设置、相关字典数据的维护提供GUI工具；</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提供对VIP病人影像等资料的保护和访问内权限管理；</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hint="eastAsia" w:ascii="宋体" w:hAnsi="宋体" w:eastAsia="宋体" w:cs="宋体"/>
                <w:bCs/>
                <w:szCs w:val="21"/>
                <w:lang w:val="nl-NL"/>
              </w:rPr>
              <w:t>▲</w:t>
            </w:r>
            <w:r>
              <w:rPr>
                <w:rFonts w:ascii="宋体" w:hAnsi="宋体" w:eastAsia="宋体"/>
                <w:bCs/>
                <w:szCs w:val="21"/>
                <w:lang w:val="nl-NL"/>
              </w:rPr>
              <w:t>支持符合HIPAA规范的系统日志，记录系统操作步骤。用户可以通过查询来了解具体操作的详细信息。（提供软件界面截图证明文件）</w:t>
            </w:r>
          </w:p>
          <w:p>
            <w:pPr>
              <w:numPr>
                <w:ilvl w:val="0"/>
                <w:numId w:val="7"/>
              </w:numPr>
              <w:tabs>
                <w:tab w:val="left" w:pos="0"/>
                <w:tab w:val="left" w:pos="904"/>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RIS软件应支持IHE Radiology Domain下SWF, PIR等Profile。</w:t>
            </w:r>
          </w:p>
          <w:p>
            <w:pPr>
              <w:numPr>
                <w:ilvl w:val="0"/>
                <w:numId w:val="6"/>
              </w:numPr>
              <w:tabs>
                <w:tab w:val="left" w:pos="0"/>
              </w:tabs>
              <w:autoSpaceDE w:val="0"/>
              <w:autoSpaceDN w:val="0"/>
              <w:snapToGrid w:val="0"/>
              <w:spacing w:line="180" w:lineRule="atLeast"/>
              <w:ind w:left="0" w:firstLine="0"/>
              <w:rPr>
                <w:rFonts w:ascii="宋体" w:hAnsi="宋体" w:eastAsia="宋体"/>
                <w:b/>
                <w:szCs w:val="21"/>
                <w:lang w:val="nl-NL"/>
              </w:rPr>
            </w:pPr>
            <w:r>
              <w:rPr>
                <w:rFonts w:ascii="宋体" w:hAnsi="宋体" w:eastAsia="宋体"/>
                <w:b/>
                <w:szCs w:val="21"/>
                <w:lang w:val="nl-NL"/>
              </w:rPr>
              <w:t>数据统计模块：</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综合查询，支持自定义组合查询条件。查询条件可以按照各种逻辑运算（与/或/非/大于/小于/等于）的结果组合；</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设备工作量统计；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登记员工作量统计；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各类型医生工作量统计；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检查开单统计, 可以根据不同的部门、病区和病人类型对医生开出的放射科检查单进行统计；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曝光量、胶片量统计；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检查时间的统计；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检查费用统计功能；</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可根据ACR、ICD10代码、用户关键字等进行疾病统计；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阳性率统计；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诊断符合率统计；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支持统计一段时间内的报告诊断质量；</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支持技师的拍片质量统计；</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hint="eastAsia" w:ascii="宋体" w:hAnsi="宋体" w:eastAsia="宋体" w:cs="宋体"/>
                <w:bCs/>
                <w:szCs w:val="21"/>
                <w:lang w:val="nl-NL"/>
              </w:rPr>
              <w:t>▲</w:t>
            </w:r>
            <w:r>
              <w:rPr>
                <w:rFonts w:ascii="宋体" w:hAnsi="宋体" w:eastAsia="宋体"/>
                <w:bCs/>
                <w:szCs w:val="21"/>
                <w:lang w:val="nl-NL"/>
              </w:rPr>
              <w:t>提供“时间线”管理统计，即：可监控每一个工作流程的工作时间，用于分析，优化，改进系统流程；（提供软件界面截图证明文件）</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符合条件的统计结果可以以列表及柱状图的方式显示，并可浏览及打印；</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统计结果生成相应的报告，并可以进行浏览及打印；</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所有统计结果都支持EXCEL文件导出；</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bookmarkStart w:id="1" w:name="OLE_LINK15"/>
            <w:r>
              <w:rPr>
                <w:rFonts w:ascii="宋体" w:hAnsi="宋体" w:eastAsia="宋体"/>
                <w:bCs/>
                <w:szCs w:val="21"/>
                <w:lang w:val="nl-NL"/>
              </w:rPr>
              <w:t>能够统计某几天中固定时间段的工作量，如：12月1号到12月7号每天8:00到12：00的工作量；</w:t>
            </w:r>
          </w:p>
          <w:bookmarkEnd w:id="1"/>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工作量统计中，可以将不同部位分值累加进行统计。如头颅平扫分值为1，胸部平扫/腹部平扫分值为2等；</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查询条件项(如某些常用查询条件组合)可保存，以供下次用户方便再次取出，即对查询条件有记忆功能；</w:t>
            </w:r>
          </w:p>
          <w:p>
            <w:pPr>
              <w:numPr>
                <w:ilvl w:val="0"/>
                <w:numId w:val="8"/>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事件统计：用户</w:t>
            </w:r>
            <w:bookmarkStart w:id="2" w:name="OLE_LINK3"/>
            <w:r>
              <w:rPr>
                <w:rFonts w:ascii="宋体" w:hAnsi="宋体" w:eastAsia="宋体"/>
                <w:bCs/>
                <w:szCs w:val="21"/>
                <w:lang w:val="nl-NL"/>
              </w:rPr>
              <w:t>可以统计每一个系统事件，即各种操作步骤</w:t>
            </w:r>
            <w:bookmarkEnd w:id="2"/>
            <w:r>
              <w:rPr>
                <w:rFonts w:ascii="宋体" w:hAnsi="宋体" w:eastAsia="宋体"/>
                <w:bCs/>
                <w:szCs w:val="21"/>
                <w:lang w:val="nl-NL"/>
              </w:rPr>
              <w:t>（如登记、拍片、报告书写、报告审核等）的</w:t>
            </w:r>
            <w:bookmarkStart w:id="3" w:name="OLE_LINK4"/>
            <w:r>
              <w:rPr>
                <w:rFonts w:ascii="宋体" w:hAnsi="宋体" w:eastAsia="宋体"/>
                <w:bCs/>
                <w:szCs w:val="21"/>
                <w:lang w:val="nl-NL"/>
              </w:rPr>
              <w:t>操作时间，帮助科室绩效考核和流程优化</w:t>
            </w:r>
            <w:bookmarkEnd w:id="3"/>
            <w:r>
              <w:rPr>
                <w:rFonts w:ascii="宋体" w:hAnsi="宋体" w:eastAsia="宋体"/>
                <w:bCs/>
                <w:szCs w:val="21"/>
                <w:lang w:val="nl-NL"/>
              </w:rPr>
              <w:t>。</w:t>
            </w:r>
          </w:p>
          <w:p>
            <w:pPr>
              <w:numPr>
                <w:ilvl w:val="0"/>
                <w:numId w:val="6"/>
              </w:numPr>
              <w:tabs>
                <w:tab w:val="left" w:pos="0"/>
              </w:tabs>
              <w:autoSpaceDE w:val="0"/>
              <w:autoSpaceDN w:val="0"/>
              <w:snapToGrid w:val="0"/>
              <w:spacing w:line="180" w:lineRule="atLeast"/>
              <w:ind w:left="0" w:firstLine="0"/>
              <w:rPr>
                <w:rFonts w:ascii="宋体" w:hAnsi="宋体" w:eastAsia="宋体"/>
                <w:b/>
                <w:szCs w:val="21"/>
                <w:lang w:val="nl-NL"/>
              </w:rPr>
            </w:pPr>
            <w:r>
              <w:rPr>
                <w:rFonts w:ascii="宋体" w:hAnsi="宋体" w:eastAsia="宋体"/>
                <w:b/>
                <w:szCs w:val="21"/>
                <w:lang w:val="nl-NL"/>
              </w:rPr>
              <w:t>教学科研模块：</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提供ICD-10或ACR疾病代码归类，可根据解剖部位代码及病理疾病代码进行归类及查询；</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提供教学科研案例的查询模块，方便医院的教学及科研。</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疾病归类时支持输入病人临床诊断，病史信息等信息，并可以用作病例查询条件；</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查询出的案例可直接调阅报告及图像；</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支持报告的导出；</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可创建教学/ 研究记录；</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支持教学/研究报告的分组管理，用户可以添加，删除分组项目；</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在医生写的报告存为教学时，支持可以选择存为“公有、私有及自定义教学”；</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教学模块提供自定义疾病代码归类，同一份报告可以归类到多个疾病代码上去，即可一对多；</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支持查找教学/ 研究记录；</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本模块提供方便快捷的工具可以让使用者自己管理（增加、减少、修改）解剖部位代码及病理疾病代码。还提供更强大的应用：使用者可以通过RIS服务器软件包的教学科研模块，建立自己的正常解剖、变异解剖，及疾病影像的标准或参考，放射科医生可以随时查询及参考，有助于医生的影像诊断；</w:t>
            </w:r>
          </w:p>
          <w:p>
            <w:pPr>
              <w:numPr>
                <w:ilvl w:val="0"/>
                <w:numId w:val="9"/>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输入病人信息、报告信息或资料信息作为查询条件；</w:t>
            </w:r>
          </w:p>
          <w:p>
            <w:pPr>
              <w:numPr>
                <w:ilvl w:val="0"/>
                <w:numId w:val="6"/>
              </w:numPr>
              <w:tabs>
                <w:tab w:val="left" w:pos="0"/>
              </w:tabs>
              <w:autoSpaceDE w:val="0"/>
              <w:autoSpaceDN w:val="0"/>
              <w:snapToGrid w:val="0"/>
              <w:spacing w:line="180" w:lineRule="atLeast"/>
              <w:ind w:left="0" w:firstLine="0"/>
              <w:rPr>
                <w:rFonts w:ascii="宋体" w:hAnsi="宋体" w:eastAsia="宋体"/>
                <w:b/>
                <w:szCs w:val="21"/>
                <w:lang w:val="nl-NL"/>
              </w:rPr>
            </w:pPr>
            <w:r>
              <w:rPr>
                <w:rFonts w:ascii="宋体" w:hAnsi="宋体" w:eastAsia="宋体"/>
                <w:b/>
                <w:szCs w:val="21"/>
                <w:lang w:val="nl-NL"/>
              </w:rPr>
              <w:t>科室管理模块：</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系统用户的添加、删除、修改等，与科室人员管理的信息关联；</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通过不同级别用户各自的口令保护，包括普通用户、系统管理员、服务工程师，控制系统的使用；</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通过系统管理员的授权，控制普通用户访问某些功能的权限；</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提供科室公告功能，由管理员统一发布和管理公告信息。</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公告信息的发送可以采用</w:t>
            </w:r>
            <w:r>
              <w:rPr>
                <w:rFonts w:hint="eastAsia" w:ascii="宋体" w:hAnsi="宋体" w:eastAsia="宋体"/>
                <w:bCs/>
                <w:szCs w:val="21"/>
                <w:lang w:val="nl-NL"/>
              </w:rPr>
              <w:t>即时</w:t>
            </w:r>
            <w:r>
              <w:rPr>
                <w:rFonts w:ascii="宋体" w:hAnsi="宋体" w:eastAsia="宋体"/>
                <w:bCs/>
                <w:szCs w:val="21"/>
                <w:lang w:val="nl-NL"/>
              </w:rPr>
              <w:t>发送和定时发送两种模式；</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可以按部门发布消息，系统会默认一个全院级部门，如果发布全院公告则所有用户都会收到；</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可以添加、删除、修改、发布消息；</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未被阅读的消息在用户登陆后会在下方循环高亮显示，以作为对用户的提醒；</w:t>
            </w:r>
          </w:p>
          <w:p>
            <w:pPr>
              <w:numPr>
                <w:ilvl w:val="0"/>
                <w:numId w:val="10"/>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双击下方的消息区域可以方便的查看已经阅读过的消息。</w:t>
            </w:r>
          </w:p>
          <w:p>
            <w:pPr>
              <w:numPr>
                <w:ilvl w:val="0"/>
                <w:numId w:val="6"/>
              </w:numPr>
              <w:tabs>
                <w:tab w:val="left" w:pos="0"/>
              </w:tabs>
              <w:autoSpaceDE w:val="0"/>
              <w:autoSpaceDN w:val="0"/>
              <w:snapToGrid w:val="0"/>
              <w:spacing w:line="180" w:lineRule="atLeast"/>
              <w:ind w:left="0" w:firstLine="0"/>
              <w:rPr>
                <w:rFonts w:ascii="宋体" w:hAnsi="宋体" w:eastAsia="宋体"/>
                <w:b/>
                <w:szCs w:val="21"/>
                <w:lang w:val="nl-NL"/>
              </w:rPr>
            </w:pPr>
            <w:r>
              <w:rPr>
                <w:rFonts w:ascii="宋体" w:hAnsi="宋体" w:eastAsia="宋体"/>
                <w:b/>
                <w:szCs w:val="21"/>
                <w:lang w:val="nl-NL"/>
              </w:rPr>
              <w:t>知识管理模块：</w:t>
            </w:r>
          </w:p>
          <w:p>
            <w:pPr>
              <w:numPr>
                <w:ilvl w:val="0"/>
                <w:numId w:val="11"/>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用户可以维护一个资料分类树，添加、修改、删除分类</w:t>
            </w:r>
          </w:p>
          <w:p>
            <w:pPr>
              <w:numPr>
                <w:ilvl w:val="0"/>
                <w:numId w:val="11"/>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可以对已有的分类节点上移和下移；</w:t>
            </w:r>
          </w:p>
          <w:p>
            <w:pPr>
              <w:numPr>
                <w:ilvl w:val="0"/>
                <w:numId w:val="11"/>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可以将共享文件添加到任意的分类中，支持任意格式的文件类型；</w:t>
            </w:r>
          </w:p>
          <w:p>
            <w:pPr>
              <w:numPr>
                <w:ilvl w:val="0"/>
                <w:numId w:val="11"/>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可以提供文件名称的精确查询和模糊查询；</w:t>
            </w:r>
          </w:p>
          <w:p>
            <w:pPr>
              <w:numPr>
                <w:ilvl w:val="0"/>
                <w:numId w:val="6"/>
              </w:numPr>
              <w:tabs>
                <w:tab w:val="left" w:pos="0"/>
              </w:tabs>
              <w:autoSpaceDE w:val="0"/>
              <w:autoSpaceDN w:val="0"/>
              <w:snapToGrid w:val="0"/>
              <w:spacing w:line="180" w:lineRule="atLeast"/>
              <w:ind w:left="0" w:firstLine="0"/>
              <w:rPr>
                <w:rFonts w:ascii="宋体" w:hAnsi="宋体" w:eastAsia="宋体"/>
                <w:b/>
                <w:szCs w:val="21"/>
                <w:lang w:val="nl-NL"/>
              </w:rPr>
            </w:pPr>
            <w:r>
              <w:rPr>
                <w:rFonts w:ascii="宋体" w:hAnsi="宋体" w:eastAsia="宋体"/>
                <w:b/>
                <w:szCs w:val="21"/>
                <w:lang w:val="nl-NL"/>
              </w:rPr>
              <w:t>质控模块：</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能够修改患者的基本信息，和检查信息及检查状态。所有修改需要记录修改时间、修改人、修改内容</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检查项的移动，从某一病人归属到另一病人。</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能够合并两个患者的检查信息，合并或移动检查信息，移动部位信息，这些修改信息通过集成发送到PACS。</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手工匹配急诊或特殊原因先检查后登记的病人</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诊断医生对</w:t>
            </w:r>
            <w:bookmarkStart w:id="4" w:name="OLE_LINK5"/>
            <w:r>
              <w:rPr>
                <w:rFonts w:ascii="宋体" w:hAnsi="宋体" w:eastAsia="宋体"/>
                <w:bCs/>
                <w:szCs w:val="21"/>
                <w:lang w:val="nl-NL"/>
              </w:rPr>
              <w:t>拍片技师的图像质量</w:t>
            </w:r>
            <w:bookmarkEnd w:id="4"/>
            <w:r>
              <w:rPr>
                <w:rFonts w:ascii="宋体" w:hAnsi="宋体" w:eastAsia="宋体"/>
                <w:bCs/>
                <w:szCs w:val="21"/>
                <w:lang w:val="nl-NL"/>
              </w:rPr>
              <w:t>评分</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审核医生对拍片技师的图像质量复评，同时对诊断医生的报告质量评分</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可以调用指定报告的影像，并对该图像进行评分</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bookmarkStart w:id="5" w:name="OLE_LINK13"/>
            <w:r>
              <w:rPr>
                <w:rFonts w:hint="eastAsia" w:ascii="宋体" w:hAnsi="宋体" w:eastAsia="宋体" w:cs="宋体"/>
                <w:bCs/>
                <w:szCs w:val="21"/>
                <w:lang w:val="nl-NL"/>
              </w:rPr>
              <w:t>▲</w:t>
            </w:r>
            <w:bookmarkEnd w:id="5"/>
            <w:r>
              <w:rPr>
                <w:rFonts w:ascii="宋体" w:hAnsi="宋体" w:eastAsia="宋体"/>
                <w:bCs/>
                <w:szCs w:val="21"/>
                <w:lang w:val="nl-NL"/>
              </w:rPr>
              <w:t>提供诊断</w:t>
            </w:r>
            <w:bookmarkStart w:id="6" w:name="OLE_LINK7"/>
            <w:bookmarkStart w:id="7" w:name="OLE_LINK6"/>
            <w:r>
              <w:rPr>
                <w:rFonts w:ascii="宋体" w:hAnsi="宋体" w:eastAsia="宋体"/>
                <w:bCs/>
                <w:szCs w:val="21"/>
                <w:lang w:val="nl-NL"/>
              </w:rPr>
              <w:t>报告评分功能，可以对每份报告质量进行评估，事后可以</w:t>
            </w:r>
            <w:bookmarkEnd w:id="6"/>
            <w:r>
              <w:rPr>
                <w:rFonts w:ascii="宋体" w:hAnsi="宋体" w:eastAsia="宋体"/>
                <w:bCs/>
                <w:szCs w:val="21"/>
                <w:lang w:val="nl-NL"/>
              </w:rPr>
              <w:t>随时</w:t>
            </w:r>
            <w:bookmarkEnd w:id="7"/>
            <w:r>
              <w:rPr>
                <w:rFonts w:ascii="宋体" w:hAnsi="宋体" w:eastAsia="宋体"/>
                <w:bCs/>
                <w:szCs w:val="21"/>
                <w:lang w:val="nl-NL"/>
              </w:rPr>
              <w:t>进行统计考核（提供软件界面截图证明文件）</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hint="eastAsia" w:ascii="宋体" w:hAnsi="宋体" w:eastAsia="宋体" w:cs="宋体"/>
                <w:bCs/>
                <w:szCs w:val="21"/>
                <w:lang w:val="nl-NL"/>
              </w:rPr>
              <w:t>▲</w:t>
            </w:r>
            <w:r>
              <w:rPr>
                <w:rFonts w:ascii="宋体" w:hAnsi="宋体" w:eastAsia="宋体"/>
                <w:bCs/>
                <w:szCs w:val="21"/>
                <w:lang w:val="nl-NL"/>
              </w:rPr>
              <w:t>所评结果可以进行查看，也可以在统计模块对其进行统计（提供软件界面截图证明文件）</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hint="eastAsia" w:ascii="宋体" w:hAnsi="宋体" w:eastAsia="宋体" w:cs="宋体"/>
                <w:bCs/>
                <w:szCs w:val="21"/>
                <w:lang w:val="nl-NL"/>
              </w:rPr>
              <w:t>▲</w:t>
            </w:r>
            <w:r>
              <w:rPr>
                <w:rFonts w:ascii="宋体" w:hAnsi="宋体" w:eastAsia="宋体"/>
                <w:bCs/>
                <w:szCs w:val="21"/>
                <w:lang w:val="nl-NL"/>
              </w:rPr>
              <w:t>可以自定义评分标准，包括加分模式、减分模式等（提供软件界面截图证明文件）</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报告模板性别过滤功能：当用户选择与当前患者系统不符的报告模板时，系统会自动提醒</w:t>
            </w:r>
            <w:bookmarkStart w:id="8" w:name="OLE_LINK8"/>
            <w:r>
              <w:rPr>
                <w:rFonts w:ascii="宋体" w:hAnsi="宋体" w:eastAsia="宋体"/>
                <w:bCs/>
                <w:szCs w:val="21"/>
                <w:lang w:val="nl-NL"/>
              </w:rPr>
              <w:t>医生，模板与性别不匹配，从而减少医生出错的</w:t>
            </w:r>
            <w:bookmarkEnd w:id="8"/>
            <w:r>
              <w:rPr>
                <w:rFonts w:ascii="宋体" w:hAnsi="宋体" w:eastAsia="宋体"/>
                <w:bCs/>
                <w:szCs w:val="21"/>
                <w:lang w:val="nl-NL"/>
              </w:rPr>
              <w:t>概率。</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hint="eastAsia" w:ascii="宋体" w:hAnsi="宋体" w:eastAsia="宋体" w:cs="宋体"/>
                <w:bCs/>
                <w:szCs w:val="21"/>
                <w:lang w:val="nl-NL"/>
              </w:rPr>
              <w:t>▲</w:t>
            </w:r>
            <w:r>
              <w:rPr>
                <w:rFonts w:ascii="宋体" w:hAnsi="宋体" w:eastAsia="宋体"/>
                <w:bCs/>
                <w:szCs w:val="21"/>
                <w:lang w:val="nl-NL"/>
              </w:rPr>
              <w:t>所见所得的“左”-“右”不匹配提示 功能：用户在保存报告时，系统自动判断所见和所得中“左”-“右”使用的是否相匹配，如不匹配不仅有提示窗，所见所得相应字也会高亮，方便医生排查。从而减少所见与所得描述不一致的失误。同时匹配的关键字用户可以自由配置。（提供软件界面截图证明文件）</w:t>
            </w:r>
          </w:p>
          <w:p>
            <w:pPr>
              <w:numPr>
                <w:ilvl w:val="0"/>
                <w:numId w:val="12"/>
              </w:numPr>
              <w:tabs>
                <w:tab w:val="left" w:pos="0"/>
              </w:tabs>
              <w:autoSpaceDE w:val="0"/>
              <w:autoSpaceDN w:val="0"/>
              <w:snapToGrid w:val="0"/>
              <w:spacing w:line="180" w:lineRule="atLeast"/>
              <w:ind w:left="0" w:firstLine="0"/>
              <w:rPr>
                <w:rFonts w:ascii="宋体" w:hAnsi="宋体" w:eastAsia="宋体"/>
                <w:bCs/>
                <w:szCs w:val="21"/>
                <w:lang w:val="nl-NL"/>
              </w:rPr>
            </w:pPr>
            <w:r>
              <w:rPr>
                <w:rFonts w:hint="eastAsia" w:ascii="宋体" w:hAnsi="宋体" w:eastAsia="宋体" w:cs="宋体"/>
                <w:bCs/>
                <w:szCs w:val="21"/>
                <w:lang w:val="nl-NL"/>
              </w:rPr>
              <w:t>▲</w:t>
            </w:r>
            <w:r>
              <w:rPr>
                <w:rFonts w:ascii="宋体" w:hAnsi="宋体" w:eastAsia="宋体"/>
                <w:bCs/>
                <w:szCs w:val="21"/>
                <w:lang w:val="nl-NL"/>
              </w:rPr>
              <w:t>提供“质控模式”，质控模式下，审核和报告医师信息被全部隐藏，质控医师对报告质量进行评分；评分后，管理员可批量导出质控数据。（提供软件界面截图证明文件）</w:t>
            </w:r>
          </w:p>
          <w:p>
            <w:pPr>
              <w:numPr>
                <w:ilvl w:val="0"/>
                <w:numId w:val="6"/>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
                <w:szCs w:val="21"/>
                <w:lang w:val="nl-NL"/>
              </w:rPr>
              <w:t>即时通讯模块</w:t>
            </w:r>
            <w:r>
              <w:rPr>
                <w:rFonts w:ascii="宋体" w:hAnsi="宋体" w:eastAsia="宋体"/>
                <w:bCs/>
                <w:szCs w:val="21"/>
                <w:lang w:val="nl-NL"/>
              </w:rPr>
              <w:t>：</w:t>
            </w:r>
          </w:p>
          <w:p>
            <w:pPr>
              <w:numPr>
                <w:ilvl w:val="0"/>
                <w:numId w:val="13"/>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用户可以通过系统提供的即时通信功能进行点对点的及时沟通</w:t>
            </w:r>
            <w:r>
              <w:rPr>
                <w:rFonts w:hint="eastAsia" w:ascii="宋体" w:hAnsi="宋体" w:eastAsia="宋体"/>
                <w:bCs/>
                <w:szCs w:val="21"/>
                <w:lang w:val="nl-NL"/>
              </w:rPr>
              <w:t>。</w:t>
            </w:r>
          </w:p>
          <w:p>
            <w:pPr>
              <w:numPr>
                <w:ilvl w:val="0"/>
                <w:numId w:val="13"/>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系统显示当前已登录的用户和当班但未登录的RIS系统用户，并通过不同的状态进行区别</w:t>
            </w:r>
          </w:p>
          <w:p>
            <w:pPr>
              <w:numPr>
                <w:ilvl w:val="0"/>
                <w:numId w:val="13"/>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提供共同阅片功能，医生可以发送患者</w:t>
            </w:r>
            <w:r>
              <w:rPr>
                <w:rFonts w:hint="eastAsia" w:ascii="宋体" w:hAnsi="宋体" w:eastAsia="宋体"/>
                <w:bCs/>
                <w:szCs w:val="21"/>
                <w:lang w:val="nl-NL"/>
              </w:rPr>
              <w:t>链接</w:t>
            </w:r>
            <w:r>
              <w:rPr>
                <w:rFonts w:ascii="宋体" w:hAnsi="宋体" w:eastAsia="宋体"/>
                <w:bCs/>
                <w:szCs w:val="21"/>
                <w:lang w:val="nl-NL"/>
              </w:rPr>
              <w:t>给需要共同阅片的医生，接收到的医生可以直接打开病人报告及图像</w:t>
            </w:r>
          </w:p>
          <w:p>
            <w:pPr>
              <w:numPr>
                <w:ilvl w:val="0"/>
                <w:numId w:val="13"/>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支持发送文件和图片</w:t>
            </w:r>
          </w:p>
          <w:p>
            <w:pPr>
              <w:numPr>
                <w:ilvl w:val="0"/>
                <w:numId w:val="6"/>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
                <w:szCs w:val="21"/>
                <w:lang w:val="nl-NL"/>
              </w:rPr>
              <w:t>绩效管理模块</w:t>
            </w:r>
            <w:r>
              <w:rPr>
                <w:rFonts w:ascii="宋体" w:hAnsi="宋体" w:eastAsia="宋体"/>
                <w:bCs/>
                <w:szCs w:val="21"/>
                <w:lang w:val="nl-NL"/>
              </w:rPr>
              <w:t>：</w:t>
            </w:r>
          </w:p>
          <w:p>
            <w:pPr>
              <w:pStyle w:val="30"/>
              <w:widowControl/>
              <w:numPr>
                <w:ilvl w:val="0"/>
                <w:numId w:val="1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系统会根据部位、类型、医生的</w:t>
            </w:r>
            <w:r>
              <w:rPr>
                <w:rFonts w:hint="eastAsia" w:ascii="宋体" w:hAnsi="宋体" w:eastAsia="宋体"/>
                <w:bCs/>
                <w:szCs w:val="21"/>
              </w:rPr>
              <w:t>资历、组别</w:t>
            </w:r>
            <w:r>
              <w:rPr>
                <w:rFonts w:ascii="宋体" w:hAnsi="宋体" w:eastAsia="宋体"/>
                <w:bCs/>
                <w:szCs w:val="21"/>
              </w:rPr>
              <w:t>进行组合形式的自动分配报告。</w:t>
            </w:r>
          </w:p>
          <w:p>
            <w:pPr>
              <w:pStyle w:val="30"/>
              <w:widowControl/>
              <w:numPr>
                <w:ilvl w:val="0"/>
                <w:numId w:val="1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支持平均分配、多劳多得、自动发牌三种报告分发模式，能够满足当前的报告分发管理机制。</w:t>
            </w:r>
          </w:p>
          <w:p>
            <w:pPr>
              <w:pStyle w:val="30"/>
              <w:widowControl/>
              <w:numPr>
                <w:ilvl w:val="0"/>
                <w:numId w:val="1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支持设置每天分发报告的上限值。</w:t>
            </w:r>
          </w:p>
          <w:p>
            <w:pPr>
              <w:pStyle w:val="30"/>
              <w:widowControl/>
              <w:numPr>
                <w:ilvl w:val="0"/>
                <w:numId w:val="1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支持根据报告医生、审核医生的数量、资质、设备情况进行规则的调整和设定，以符合科室管理要求。</w:t>
            </w:r>
          </w:p>
          <w:p>
            <w:pPr>
              <w:pStyle w:val="30"/>
              <w:widowControl/>
              <w:numPr>
                <w:ilvl w:val="0"/>
                <w:numId w:val="1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报告分发支持按照报告的数量进行分发，也支持根据每份报告的权重进行分发；</w:t>
            </w:r>
          </w:p>
          <w:p>
            <w:pPr>
              <w:pStyle w:val="30"/>
              <w:widowControl/>
              <w:numPr>
                <w:ilvl w:val="0"/>
                <w:numId w:val="1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支持根据不同的用户设置不同的报告分发比例；</w:t>
            </w:r>
          </w:p>
          <w:p>
            <w:pPr>
              <w:pStyle w:val="30"/>
              <w:widowControl/>
              <w:numPr>
                <w:ilvl w:val="0"/>
                <w:numId w:val="14"/>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可以设置每天分发报告的上限值；</w:t>
            </w:r>
          </w:p>
          <w:p>
            <w:pPr>
              <w:pStyle w:val="30"/>
              <w:widowControl/>
              <w:numPr>
                <w:ilvl w:val="0"/>
                <w:numId w:val="14"/>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可以不同的部位在检查、提交报告、审核报告时设置不同的权值，并可以通过权值进行统计（提供软件界面截图证明文件）</w:t>
            </w:r>
          </w:p>
          <w:p>
            <w:pPr>
              <w:numPr>
                <w:ilvl w:val="0"/>
                <w:numId w:val="14"/>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提供成熟的权重值，能够在系统升级完毕后马上无缝应用在放射科，不影响科室正常业务开展。</w:t>
            </w:r>
          </w:p>
          <w:p>
            <w:pPr>
              <w:numPr>
                <w:ilvl w:val="0"/>
                <w:numId w:val="14"/>
              </w:numPr>
              <w:tabs>
                <w:tab w:val="left" w:pos="0"/>
              </w:tabs>
              <w:autoSpaceDE w:val="0"/>
              <w:autoSpaceDN w:val="0"/>
              <w:snapToGrid w:val="0"/>
              <w:spacing w:line="180" w:lineRule="atLeast"/>
              <w:ind w:left="0" w:firstLine="0"/>
              <w:rPr>
                <w:rFonts w:ascii="宋体" w:hAnsi="宋体" w:eastAsia="宋体"/>
                <w:bCs/>
                <w:szCs w:val="21"/>
                <w:lang w:val="nl-NL"/>
              </w:rPr>
            </w:pPr>
            <w:r>
              <w:rPr>
                <w:rFonts w:hint="eastAsia" w:ascii="宋体" w:hAnsi="宋体" w:eastAsia="宋体" w:cs="宋体"/>
                <w:bCs/>
                <w:szCs w:val="21"/>
              </w:rPr>
              <w:t>▲</w:t>
            </w:r>
            <w:r>
              <w:rPr>
                <w:rFonts w:hint="eastAsia" w:ascii="宋体" w:hAnsi="宋体" w:eastAsia="宋体"/>
                <w:bCs/>
                <w:szCs w:val="21"/>
                <w:lang w:val="nl-NL"/>
              </w:rPr>
              <w:t>支持针对护士注射打针拔针的记录及统计功能</w:t>
            </w:r>
            <w:r>
              <w:rPr>
                <w:rFonts w:ascii="宋体" w:hAnsi="宋体" w:eastAsia="宋体"/>
                <w:bCs/>
                <w:szCs w:val="21"/>
              </w:rPr>
              <w:t>（提供软件界面截图证明文件）</w:t>
            </w:r>
          </w:p>
          <w:p>
            <w:pPr>
              <w:numPr>
                <w:ilvl w:val="0"/>
                <w:numId w:val="6"/>
              </w:numPr>
              <w:tabs>
                <w:tab w:val="left" w:pos="0"/>
              </w:tabs>
              <w:autoSpaceDE w:val="0"/>
              <w:autoSpaceDN w:val="0"/>
              <w:snapToGrid w:val="0"/>
              <w:spacing w:line="180" w:lineRule="atLeast"/>
              <w:ind w:left="0" w:firstLine="0"/>
              <w:rPr>
                <w:rFonts w:ascii="宋体" w:hAnsi="宋体" w:eastAsia="宋体"/>
                <w:b/>
                <w:szCs w:val="21"/>
                <w:lang w:val="nl-NL"/>
              </w:rPr>
            </w:pPr>
            <w:r>
              <w:rPr>
                <w:rFonts w:ascii="宋体" w:hAnsi="宋体" w:eastAsia="宋体"/>
                <w:b/>
                <w:szCs w:val="21"/>
                <w:lang w:val="nl-NL"/>
              </w:rPr>
              <w:t>资源管理模块</w:t>
            </w:r>
          </w:p>
          <w:p>
            <w:pPr>
              <w:numPr>
                <w:ilvl w:val="0"/>
                <w:numId w:val="15"/>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支持</w:t>
            </w:r>
            <w:bookmarkStart w:id="9" w:name="OLE_LINK9"/>
            <w:r>
              <w:rPr>
                <w:rFonts w:ascii="宋体" w:hAnsi="宋体" w:eastAsia="宋体"/>
                <w:bCs/>
                <w:szCs w:val="21"/>
                <w:lang w:val="nl-NL"/>
              </w:rPr>
              <w:t>资源管理，包括人员、设备、检查</w:t>
            </w:r>
            <w:bookmarkEnd w:id="9"/>
            <w:r>
              <w:rPr>
                <w:rFonts w:ascii="宋体" w:hAnsi="宋体" w:eastAsia="宋体"/>
                <w:bCs/>
                <w:szCs w:val="21"/>
                <w:lang w:val="nl-NL"/>
              </w:rPr>
              <w:t>房间</w:t>
            </w:r>
          </w:p>
          <w:p>
            <w:pPr>
              <w:numPr>
                <w:ilvl w:val="0"/>
                <w:numId w:val="15"/>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提供电子化排班功能，支持按照时间片排班，并能够与报告分发功能相结合</w:t>
            </w:r>
          </w:p>
          <w:p>
            <w:pPr>
              <w:numPr>
                <w:ilvl w:val="0"/>
                <w:numId w:val="15"/>
              </w:numPr>
              <w:tabs>
                <w:tab w:val="left" w:pos="0"/>
              </w:tabs>
              <w:autoSpaceDE w:val="0"/>
              <w:autoSpaceDN w:val="0"/>
              <w:snapToGrid w:val="0"/>
              <w:spacing w:line="180" w:lineRule="atLeast"/>
              <w:ind w:left="0" w:firstLine="0"/>
              <w:rPr>
                <w:rFonts w:ascii="宋体" w:hAnsi="宋体" w:eastAsia="宋体"/>
                <w:bCs/>
                <w:szCs w:val="21"/>
                <w:lang w:val="nl-NL"/>
              </w:rPr>
            </w:pPr>
            <w:r>
              <w:rPr>
                <w:rFonts w:ascii="宋体" w:hAnsi="宋体" w:eastAsia="宋体"/>
                <w:bCs/>
                <w:szCs w:val="21"/>
                <w:lang w:val="nl-NL"/>
              </w:rPr>
              <w:t>根据设备类型、生理系统、病人类型等，进行细致的排班安排，结合“统计”、“分发报告”功能，提高统筹、管理效率。</w:t>
            </w:r>
          </w:p>
          <w:p>
            <w:pPr>
              <w:numPr>
                <w:ilvl w:val="0"/>
                <w:numId w:val="15"/>
              </w:numPr>
              <w:tabs>
                <w:tab w:val="left" w:pos="0"/>
              </w:tabs>
              <w:autoSpaceDE w:val="0"/>
              <w:autoSpaceDN w:val="0"/>
              <w:snapToGrid w:val="0"/>
              <w:spacing w:line="180" w:lineRule="atLeast"/>
              <w:ind w:left="0" w:firstLine="0"/>
              <w:rPr>
                <w:rFonts w:ascii="宋体" w:hAnsi="宋体" w:eastAsia="宋体"/>
                <w:bCs/>
                <w:szCs w:val="21"/>
                <w:lang w:val="nl-NL"/>
              </w:rPr>
            </w:pPr>
            <w:r>
              <w:rPr>
                <w:rFonts w:hint="eastAsia" w:ascii="宋体" w:hAnsi="宋体" w:eastAsia="宋体"/>
                <w:bCs/>
                <w:szCs w:val="21"/>
                <w:lang w:val="nl-NL"/>
              </w:rPr>
              <w:t>支持技师排班功能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rPr>
            </w:pPr>
            <w:r>
              <w:rPr>
                <w:rFonts w:hint="eastAsia" w:ascii="宋体" w:hAnsi="宋体" w:eastAsia="宋体"/>
                <w:szCs w:val="21"/>
              </w:rPr>
              <w:t>信息集成服务器软件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6"/>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可与RIS /HIS /EMR等医用信息系统通过HL7方式或其他私有协议方式进行集成。</w:t>
            </w:r>
          </w:p>
          <w:p>
            <w:pPr>
              <w:pStyle w:val="30"/>
              <w:widowControl/>
              <w:numPr>
                <w:ilvl w:val="0"/>
                <w:numId w:val="16"/>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可实现患者基本信息、检查申请信息、检查状态、报告结果等信息和RIS系统的自动交互。</w:t>
            </w:r>
          </w:p>
          <w:p>
            <w:pPr>
              <w:pStyle w:val="30"/>
              <w:widowControl/>
              <w:numPr>
                <w:ilvl w:val="0"/>
                <w:numId w:val="16"/>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对配置DICOM Modality Worklist服务的影像设备，实现worklist功能，优化工作流程，提高效率。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bCs/>
                <w:szCs w:val="21"/>
              </w:rPr>
            </w:pPr>
            <w:r>
              <w:rPr>
                <w:rFonts w:ascii="宋体" w:hAnsi="宋体" w:eastAsia="宋体"/>
                <w:szCs w:val="21"/>
              </w:rPr>
              <w:t>PACS诊断客户端</w:t>
            </w:r>
            <w:r>
              <w:rPr>
                <w:rFonts w:hint="eastAsia" w:ascii="宋体" w:hAnsi="宋体" w:eastAsia="宋体"/>
                <w:szCs w:val="21"/>
              </w:rPr>
              <w:t>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 ROI 缩放与平移</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支持选定图像的锐化、平滑处理</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用户可自定义窗宽/窗位值</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用户可自定义应用程序字体名称及大小、批注字体大小、批注字体颜色、活动框架颜色等</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检查记录可附加说明（记事贴）；一次检查记录可附加一份或多份说明</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可在影像上加注文本注释和箭头</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注释可与影像一起保存，并全局可用</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可隐藏 DICOM 信息，以便清晰显示影像</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可用 Cobb Angle（Cobb 角）方法测量脊柱弯曲（提供软件界面截图证明文件）</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支持导出 DICOM DIR 、AVI、BMP、JPEG格式文件</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 DICOM 超声 EF 比值测量，通过勾勒心内膜边界绘制其轮廓线，勾勒结束后将自动计算并显示数值</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支持 DICOM ECG 测量（提供软件界面截图证明文件），灵活的缩放功能，网格显示及卡尺功能的应用，多种布局及速度增益功能</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可通过网络进行影像数据快速查询与调阅；</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采用多线程调阅技术，支持影像的后台调阅，当第一屏影像显示完成后即可以进行图像处理，不需要等待全部影像传输完毕</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支持图像后处理状态的保存</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可同时调阅一个患者或多个患者不同诊断序列、不同体位、不同时期、不同成像设备的影像对比显示和诊断</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灵活的挂片协议(“所见即所得”方式创建挂片协议)，可根据不同设备、不同部位， 不同类型的影像自动使用相应的挂片协议</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自动加载病人既往影像资料和报告</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定位线显示和跟踪</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支持不同序列不同检查之间的图像进行注册链接，同步显示。</w:t>
            </w:r>
            <w:r>
              <w:rPr>
                <w:rFonts w:hint="eastAsia" w:ascii="宋体" w:hAnsi="宋体" w:eastAsia="宋体"/>
                <w:bCs/>
                <w:szCs w:val="21"/>
              </w:rPr>
              <w:t>支持智能自动注册、指导注册、手动注册、精简注册</w:t>
            </w:r>
            <w:r>
              <w:rPr>
                <w:rFonts w:ascii="宋体" w:hAnsi="宋体" w:eastAsia="宋体"/>
                <w:bCs/>
                <w:szCs w:val="21"/>
              </w:rPr>
              <w:t>。（提供软件界面截图证明文件）</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支持影像整体窗宽/窗位调整的快捷键操作，自动窗宽/窗位调整，感兴趣区内智能窗宽/窗位调整。</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支持灰阶、灰阶（反转）、绿色、橙色、紫色、蔚蓝色六种颜色映射功能</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可根据不同图像要求预设多种窗宽/窗位及快捷方式调整窗宽/窗位</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可进行影像局部放大，自由缩放功能，放大倍率可以调整、放大部分窗宽/窗位可调整。</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支持设置相关参考点，指示不同平面的同一位置。</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支持关键影像标注功能。</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w:t>
            </w:r>
            <w:r>
              <w:rPr>
                <w:rFonts w:hint="eastAsia" w:ascii="宋体" w:hAnsi="宋体" w:eastAsia="宋体"/>
                <w:bCs/>
                <w:szCs w:val="21"/>
              </w:rPr>
              <w:t>显著</w:t>
            </w:r>
            <w:r>
              <w:rPr>
                <w:rFonts w:ascii="宋体" w:hAnsi="宋体" w:eastAsia="宋体"/>
                <w:bCs/>
                <w:szCs w:val="21"/>
              </w:rPr>
              <w:t>序列的标注功能</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提供常规诊断测量工具，包括 CT 值测量、距离测量、角度测量和 ROI 分析等等</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能测量各种封闭区域面积，显示点测量值、感兴趣区（点）内测量值</w:t>
            </w:r>
            <w:r>
              <w:rPr>
                <w:rFonts w:hint="eastAsia" w:ascii="宋体" w:hAnsi="宋体" w:eastAsia="宋体"/>
                <w:bCs/>
                <w:szCs w:val="21"/>
              </w:rPr>
              <w:t>；</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bCs/>
                <w:szCs w:val="21"/>
              </w:rPr>
              <w:t>支持</w:t>
            </w:r>
            <w:r>
              <w:rPr>
                <w:rFonts w:ascii="宋体" w:hAnsi="宋体" w:eastAsia="宋体"/>
                <w:bCs/>
                <w:szCs w:val="21"/>
              </w:rPr>
              <w:t>在图</w:t>
            </w:r>
            <w:r>
              <w:rPr>
                <w:rFonts w:hint="eastAsia" w:ascii="宋体" w:hAnsi="宋体" w:eastAsia="宋体"/>
                <w:bCs/>
                <w:szCs w:val="21"/>
              </w:rPr>
              <w:t>像</w:t>
            </w:r>
            <w:r>
              <w:rPr>
                <w:rFonts w:ascii="宋体" w:hAnsi="宋体" w:eastAsia="宋体"/>
                <w:bCs/>
                <w:szCs w:val="21"/>
              </w:rPr>
              <w:t>上增加文字注释、图形、手绘线、箭头标注等，并可保存标注信息。标识的颜色、字号等可进行自定义。</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长度测量支持延轴显示值图形</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可提供心胸比率测量，</w:t>
            </w:r>
            <w:bookmarkStart w:id="10" w:name="_Hlk140073081"/>
            <w:r>
              <w:rPr>
                <w:rFonts w:ascii="宋体" w:hAnsi="宋体" w:eastAsia="宋体"/>
                <w:bCs/>
                <w:szCs w:val="21"/>
              </w:rPr>
              <w:t>髋关节测量</w:t>
            </w:r>
            <w:bookmarkEnd w:id="10"/>
            <w:r>
              <w:rPr>
                <w:rFonts w:ascii="宋体" w:hAnsi="宋体" w:eastAsia="宋体"/>
                <w:bCs/>
                <w:szCs w:val="21"/>
              </w:rPr>
              <w:t>，下肢测量，</w:t>
            </w:r>
            <w:bookmarkStart w:id="11" w:name="_Hlk140073205"/>
            <w:r>
              <w:rPr>
                <w:rFonts w:ascii="宋体" w:hAnsi="宋体" w:eastAsia="宋体"/>
                <w:bCs/>
                <w:szCs w:val="21"/>
              </w:rPr>
              <w:t>骨盆测量</w:t>
            </w:r>
            <w:bookmarkEnd w:id="11"/>
            <w:r>
              <w:rPr>
                <w:rFonts w:ascii="宋体" w:hAnsi="宋体" w:eastAsia="宋体"/>
                <w:bCs/>
                <w:szCs w:val="21"/>
              </w:rPr>
              <w:t>（提供软件界面截图证明文件）</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脊柱标记功能：一次标记，按序在所有序列的相关脊柱关节显示标准顺序号码</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提供图像变换功能：提供图像显示移动、水平和垂直镜像、旋转、翻转功能等影像显示功能</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提供图像负片显示功能</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提供影像动态电影回放功能，播放速度可由操作者调整，可将电影导成 AVI 方式输出</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可利用 “会话共享”功能进行图像共享；可以切换“操作者”并可通过交换“操作者”功能可清楚的看到共享双方对图像的操作，进而实现会诊及教学功能。（提供软件界面截图证明文件）</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bookmarkStart w:id="12" w:name="_Hlk140090441"/>
            <w:r>
              <w:rPr>
                <w:rFonts w:ascii="宋体" w:hAnsi="宋体" w:eastAsia="宋体"/>
                <w:bCs/>
                <w:szCs w:val="21"/>
              </w:rPr>
              <w:t>支持容积打印功能，可任意调整所需打印容积影像的数量</w:t>
            </w:r>
          </w:p>
          <w:bookmarkEnd w:id="12"/>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支持组布局功能，可将图像平铺于指定位置</w:t>
            </w:r>
          </w:p>
          <w:p>
            <w:pPr>
              <w:pStyle w:val="30"/>
              <w:numPr>
                <w:ilvl w:val="0"/>
                <w:numId w:val="17"/>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所有影像诊断工作站软件支持自动下载和更新</w:t>
            </w:r>
          </w:p>
          <w:p>
            <w:pPr>
              <w:pStyle w:val="30"/>
              <w:numPr>
                <w:ilvl w:val="0"/>
                <w:numId w:val="17"/>
              </w:numPr>
              <w:tabs>
                <w:tab w:val="left" w:pos="1386"/>
              </w:tabs>
              <w:snapToGrid w:val="0"/>
              <w:spacing w:line="180" w:lineRule="atLeast"/>
              <w:ind w:left="0" w:firstLine="0"/>
              <w:contextualSpacing w:val="0"/>
              <w:rPr>
                <w:rFonts w:ascii="宋体" w:hAnsi="宋体" w:eastAsia="宋体"/>
                <w:szCs w:val="21"/>
              </w:rPr>
            </w:pPr>
            <w:r>
              <w:rPr>
                <w:rFonts w:ascii="宋体" w:hAnsi="宋体" w:eastAsia="宋体"/>
                <w:bCs/>
                <w:szCs w:val="21"/>
              </w:rPr>
              <w:t>所有影像诊断工作站上首幅图像的调阅速度≤2 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rPr>
            </w:pPr>
            <w:r>
              <w:rPr>
                <w:rFonts w:hint="eastAsia" w:ascii="宋体" w:hAnsi="宋体" w:eastAsia="宋体"/>
                <w:color w:val="000000"/>
                <w:szCs w:val="21"/>
              </w:rPr>
              <w:t>RIS预约登记客户端软件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可与医院预约系统对接，获取已预约患者信息，选择预约患者信息后，可将患者信息直接导入登记系统，即预约签到；</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支持身份证或医保卡、人脸识别等身份识别接入，实现患者身份信息快速识别并将身份信息无缝传输至登记模块；</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登记病人时，系统自动验证是否新病人或老病人；</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支持传统申请模式和电子申请模式，提供病人到达确认并进行排队，实现与排队叫号系统无缝集成；</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自动生成科室的统一检查编号，提供灵活的编号机制；</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检查项目登记时支持大部位选项，把检查部位归为几组大部位方面归类，如：上肢，下肢，脊柱，胸部等，并且检查项目可按拼音字母检索以便快速查找项目；</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RIS登记工作站支持Dicom Modality worklist功能；</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登记预约时支持条码打印，用户可以自定义条码打印格式和内容，可以把Patient ID、Accession No等信息打印成条码；</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支持申请单的扫描和拍摄，可以把临床医生开的检查申请单扫描成电子文件方式存档，支持web申请单；</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提供急诊登记模板，方便急诊检查；</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在输入患者出生日期时，支持阴阳历转换；</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自动换算患儿年龄：＜2岁用月表示，＜1月用天表示，＜2天用小时表示；</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支持VIP病人的登记、检查，并确保数据的安全性；</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针对儿童患者，系统提供曾用名的字段和家长姓名字段，系统可以配置是否使用这两个字段；</w:t>
            </w:r>
          </w:p>
          <w:p>
            <w:pPr>
              <w:pStyle w:val="30"/>
              <w:widowControl/>
              <w:numPr>
                <w:ilvl w:val="0"/>
                <w:numId w:val="18"/>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可打印患者检查二维码及检查与获取报告指引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rPr>
            </w:pPr>
            <w:r>
              <w:rPr>
                <w:rFonts w:hint="eastAsia" w:ascii="宋体" w:hAnsi="宋体" w:eastAsia="宋体"/>
                <w:color w:val="000000"/>
                <w:szCs w:val="21"/>
              </w:rPr>
              <w:t>RIS检查技师客户端软件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9"/>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修改、补充登记和检查信息</w:t>
            </w:r>
          </w:p>
          <w:p>
            <w:pPr>
              <w:pStyle w:val="30"/>
              <w:widowControl/>
              <w:numPr>
                <w:ilvl w:val="0"/>
                <w:numId w:val="19"/>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接受下游流程的反馈信息，如重拍，废片等信息等</w:t>
            </w:r>
          </w:p>
          <w:p>
            <w:pPr>
              <w:pStyle w:val="30"/>
              <w:widowControl/>
              <w:numPr>
                <w:ilvl w:val="0"/>
                <w:numId w:val="19"/>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 xml:space="preserve">检查状态更新，将已到检，检查完毕等状态通知RIS服务器，能达到MPPS类似功能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rPr>
            </w:pPr>
            <w:r>
              <w:rPr>
                <w:rFonts w:hint="eastAsia" w:ascii="宋体" w:hAnsi="宋体" w:eastAsia="宋体"/>
                <w:color w:val="000000"/>
                <w:szCs w:val="21"/>
              </w:rPr>
              <w:t>RIS诊断报告客户端软件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主要功能是供医生创建、提交、审阅报告。</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bookmarkStart w:id="13" w:name="OLE_LINK10"/>
            <w:r>
              <w:rPr>
                <w:rFonts w:ascii="宋体" w:hAnsi="宋体" w:eastAsia="宋体"/>
                <w:bCs/>
                <w:szCs w:val="21"/>
              </w:rPr>
              <w:t>支持诊断报告书写的基本功能，包括支持报告创建</w:t>
            </w:r>
            <w:bookmarkEnd w:id="13"/>
            <w:r>
              <w:rPr>
                <w:rFonts w:ascii="宋体" w:hAnsi="宋体" w:eastAsia="宋体"/>
                <w:bCs/>
                <w:szCs w:val="21"/>
              </w:rPr>
              <w:t>、报告书写、历史报告浏览、多级医生审核等功能；</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针对报告超时提醒，提供报告状态颜色标记，系统支持用户自定义报告状态的颜色，支持设定超时时间；</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支持图文报告功能；</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支持测量值提醒功能；录入测量值后系统会给出‘’正常‘’偏高‘’‘’</w:t>
            </w:r>
            <w:r>
              <w:rPr>
                <w:rFonts w:ascii="Cambria Math" w:hAnsi="Cambria Math" w:eastAsia="宋体" w:cs="Cambria Math"/>
                <w:bCs/>
                <w:szCs w:val="21"/>
              </w:rPr>
              <w:t>⬆</w:t>
            </w:r>
            <w:r>
              <w:rPr>
                <w:rFonts w:ascii="宋体" w:hAnsi="宋体" w:eastAsia="宋体"/>
                <w:bCs/>
                <w:szCs w:val="21"/>
              </w:rPr>
              <w:t>‘’</w:t>
            </w:r>
            <w:r>
              <w:rPr>
                <w:rFonts w:ascii="Cambria Math" w:hAnsi="Cambria Math" w:eastAsia="宋体" w:cs="Cambria Math"/>
                <w:bCs/>
                <w:szCs w:val="21"/>
              </w:rPr>
              <w:t>⬇</w:t>
            </w:r>
            <w:r>
              <w:rPr>
                <w:rFonts w:ascii="宋体" w:hAnsi="宋体" w:eastAsia="宋体"/>
                <w:bCs/>
                <w:szCs w:val="21"/>
              </w:rPr>
              <w:t>‘’√‘’等符号提示，并且特定测量值会根据年龄、性别分组显示（提供软件界面截图证明文件）</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支持历史报告及报告修改留痕功能；</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支持报告打印、输出功能；</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支持公有和私有两种报告模板的编辑管理；</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编辑报告时可使用“上一步”、“下一步”的操作</w:t>
            </w:r>
          </w:p>
          <w:p>
            <w:pPr>
              <w:pStyle w:val="30"/>
              <w:widowControl/>
              <w:numPr>
                <w:ilvl w:val="0"/>
                <w:numId w:val="20"/>
              </w:numPr>
              <w:tabs>
                <w:tab w:val="left" w:pos="0"/>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支持ACR、ICD-10代码；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rPr>
            </w:pPr>
            <w:r>
              <w:rPr>
                <w:rFonts w:hint="eastAsia" w:ascii="宋体" w:hAnsi="宋体" w:eastAsia="宋体"/>
                <w:color w:val="000000"/>
                <w:szCs w:val="21"/>
              </w:rPr>
              <w:t>临床浏览客户端软件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numPr>
                <w:ilvl w:val="3"/>
                <w:numId w:val="21"/>
              </w:numPr>
              <w:tabs>
                <w:tab w:val="left" w:pos="252"/>
              </w:tabs>
              <w:snapToGrid w:val="0"/>
              <w:spacing w:line="180" w:lineRule="atLeast"/>
              <w:ind w:left="0" w:firstLine="0"/>
              <w:rPr>
                <w:rFonts w:ascii="宋体" w:hAnsi="宋体" w:eastAsia="宋体"/>
                <w:szCs w:val="21"/>
              </w:rPr>
            </w:pPr>
            <w:r>
              <w:rPr>
                <w:rFonts w:hint="eastAsia" w:ascii="宋体" w:hAnsi="宋体" w:eastAsia="宋体"/>
                <w:szCs w:val="21"/>
              </w:rPr>
              <w:t>可在支持</w:t>
            </w:r>
            <w:r>
              <w:rPr>
                <w:rFonts w:ascii="宋体" w:hAnsi="宋体" w:eastAsia="宋体"/>
                <w:szCs w:val="21"/>
              </w:rPr>
              <w:t>HTML5</w:t>
            </w:r>
            <w:r>
              <w:rPr>
                <w:rFonts w:hint="eastAsia" w:ascii="宋体" w:hAnsi="宋体" w:eastAsia="宋体"/>
                <w:szCs w:val="21"/>
              </w:rPr>
              <w:t>的浏览器（如</w:t>
            </w:r>
            <w:r>
              <w:rPr>
                <w:rFonts w:ascii="宋体" w:hAnsi="宋体" w:eastAsia="宋体"/>
                <w:szCs w:val="21"/>
              </w:rPr>
              <w:t>Chrome, IE, Safari</w:t>
            </w:r>
            <w:r>
              <w:rPr>
                <w:rFonts w:hint="eastAsia" w:ascii="宋体" w:hAnsi="宋体" w:eastAsia="宋体"/>
                <w:szCs w:val="21"/>
              </w:rPr>
              <w:t>等）中直接调取患者各类影像数据（如放射、超声、内镜、病理等）及报告，无需下载任何软件，也不会在本地遗留任何数据，确保数据移动访问中的安全性。</w:t>
            </w:r>
          </w:p>
          <w:p>
            <w:pPr>
              <w:pStyle w:val="30"/>
              <w:numPr>
                <w:ilvl w:val="3"/>
                <w:numId w:val="21"/>
              </w:numPr>
              <w:tabs>
                <w:tab w:val="left" w:pos="252"/>
              </w:tabs>
              <w:snapToGrid w:val="0"/>
              <w:spacing w:line="180" w:lineRule="atLeast"/>
              <w:ind w:left="0" w:firstLine="0"/>
              <w:rPr>
                <w:rFonts w:ascii="宋体" w:hAnsi="宋体" w:eastAsia="宋体"/>
                <w:szCs w:val="21"/>
              </w:rPr>
            </w:pPr>
            <w:r>
              <w:rPr>
                <w:rFonts w:hint="eastAsia" w:ascii="宋体" w:hAnsi="宋体" w:eastAsia="宋体"/>
                <w:szCs w:val="21"/>
              </w:rPr>
              <w:t>具有影像查看和处理工具（例如缩放、平移、窗宽</w:t>
            </w:r>
            <w:r>
              <w:rPr>
                <w:rFonts w:ascii="宋体" w:hAnsi="宋体" w:eastAsia="宋体"/>
                <w:szCs w:val="21"/>
              </w:rPr>
              <w:t>/</w:t>
            </w:r>
            <w:r>
              <w:rPr>
                <w:rFonts w:hint="eastAsia" w:ascii="宋体" w:hAnsi="宋体" w:eastAsia="宋体"/>
                <w:szCs w:val="21"/>
              </w:rPr>
              <w:t>窗位调整、电影播放等）。</w:t>
            </w:r>
          </w:p>
          <w:p>
            <w:pPr>
              <w:pStyle w:val="30"/>
              <w:numPr>
                <w:ilvl w:val="3"/>
                <w:numId w:val="21"/>
              </w:numPr>
              <w:tabs>
                <w:tab w:val="left" w:pos="252"/>
              </w:tabs>
              <w:snapToGrid w:val="0"/>
              <w:spacing w:line="180" w:lineRule="atLeast"/>
              <w:ind w:left="0" w:firstLine="0"/>
              <w:rPr>
                <w:rFonts w:ascii="宋体" w:hAnsi="宋体" w:eastAsia="宋体"/>
                <w:szCs w:val="21"/>
              </w:rPr>
            </w:pPr>
            <w:r>
              <w:rPr>
                <w:rFonts w:hint="eastAsia" w:ascii="宋体" w:hAnsi="宋体" w:eastAsia="宋体"/>
                <w:szCs w:val="21"/>
              </w:rPr>
              <w:t>▲可以在同一个界面里同时显示患者的放射超声病理等多医技检查图像，方便医生对比、浏览病灶。（提供软件界面截图证明文件）</w:t>
            </w:r>
          </w:p>
          <w:p>
            <w:pPr>
              <w:pStyle w:val="30"/>
              <w:numPr>
                <w:ilvl w:val="3"/>
                <w:numId w:val="21"/>
              </w:numPr>
              <w:tabs>
                <w:tab w:val="left" w:pos="252"/>
              </w:tabs>
              <w:snapToGrid w:val="0"/>
              <w:spacing w:line="180" w:lineRule="atLeast"/>
              <w:ind w:left="0" w:firstLine="0"/>
              <w:rPr>
                <w:rFonts w:ascii="宋体" w:hAnsi="宋体" w:eastAsia="宋体"/>
                <w:szCs w:val="21"/>
              </w:rPr>
            </w:pPr>
            <w:r>
              <w:rPr>
                <w:rFonts w:hint="eastAsia" w:ascii="宋体" w:hAnsi="宋体" w:eastAsia="宋体" w:cs="宋体"/>
                <w:bCs/>
                <w:szCs w:val="21"/>
              </w:rPr>
              <w:t>▲</w:t>
            </w:r>
            <w:r>
              <w:rPr>
                <w:rFonts w:hint="eastAsia" w:ascii="宋体" w:hAnsi="宋体" w:eastAsia="宋体"/>
                <w:szCs w:val="21"/>
              </w:rPr>
              <w:t>支持便笺备注功能，医生可以将不便于写在报告内容上的信息或者其它临床诊断说明通过便笺留言保存在系统中，并与其它医生进行交互和共享。</w:t>
            </w:r>
            <w:r>
              <w:rPr>
                <w:rFonts w:ascii="宋体" w:hAnsi="宋体" w:eastAsia="宋体"/>
                <w:bCs/>
                <w:szCs w:val="21"/>
              </w:rPr>
              <w:t>（提供软件界面截图证明文件）</w:t>
            </w:r>
          </w:p>
          <w:p>
            <w:pPr>
              <w:pStyle w:val="30"/>
              <w:numPr>
                <w:ilvl w:val="3"/>
                <w:numId w:val="21"/>
              </w:numPr>
              <w:tabs>
                <w:tab w:val="left" w:pos="252"/>
              </w:tabs>
              <w:snapToGrid w:val="0"/>
              <w:spacing w:line="180" w:lineRule="atLeast"/>
              <w:ind w:left="0" w:firstLine="0"/>
              <w:rPr>
                <w:rFonts w:ascii="宋体" w:hAnsi="宋体" w:eastAsia="宋体"/>
                <w:bCs/>
                <w:szCs w:val="21"/>
              </w:rPr>
            </w:pPr>
            <w:r>
              <w:rPr>
                <w:rFonts w:hint="eastAsia" w:ascii="宋体" w:hAnsi="宋体" w:eastAsia="宋体" w:cs="宋体"/>
                <w:bCs/>
                <w:szCs w:val="21"/>
              </w:rPr>
              <w:t>▲</w:t>
            </w:r>
            <w:r>
              <w:rPr>
                <w:rFonts w:hint="eastAsia" w:ascii="宋体" w:hAnsi="宋体" w:eastAsia="宋体"/>
                <w:szCs w:val="21"/>
              </w:rPr>
              <w:t>支持患者前后两次或多次检查的分屏同步对比功能。可实现多次检查影像的同步显示，包括放大缩小、图像滚动、</w:t>
            </w:r>
            <w:r>
              <w:rPr>
                <w:rFonts w:ascii="宋体" w:hAnsi="宋体" w:eastAsia="宋体"/>
                <w:szCs w:val="21"/>
              </w:rPr>
              <w:t>3D</w:t>
            </w:r>
            <w:r>
              <w:rPr>
                <w:rFonts w:hint="eastAsia" w:ascii="宋体" w:hAnsi="宋体" w:eastAsia="宋体"/>
                <w:szCs w:val="21"/>
              </w:rPr>
              <w:t>体位旋转等。</w:t>
            </w:r>
            <w:r>
              <w:rPr>
                <w:rFonts w:ascii="宋体" w:hAnsi="宋体" w:eastAsia="宋体"/>
                <w:bCs/>
                <w:szCs w:val="21"/>
              </w:rPr>
              <w:t>（提供软件界面截图证明文件）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rPr>
            </w:pPr>
            <w:r>
              <w:rPr>
                <w:rFonts w:hint="eastAsia" w:ascii="宋体" w:hAnsi="宋体" w:eastAsia="宋体"/>
                <w:color w:val="000000"/>
                <w:szCs w:val="21"/>
              </w:rPr>
              <w:t>容积重建后处理软件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2"/>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提供所投 PACS 系统制造商原厂的三维容积重建处理功能，不接受 OEM 第三方产品。</w:t>
            </w:r>
          </w:p>
          <w:p>
            <w:pPr>
              <w:pStyle w:val="30"/>
              <w:numPr>
                <w:ilvl w:val="0"/>
                <w:numId w:val="22"/>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三维容积重建处理功能需内嵌在 PACS 诊断工作站中。在进行三维容积重建操作操作处理时，应该与 PACS 常规诊断在同一界面打开，而不会弹出单独窗口，简化医生操作流程。</w:t>
            </w:r>
          </w:p>
          <w:p>
            <w:pPr>
              <w:pStyle w:val="30"/>
              <w:numPr>
                <w:ilvl w:val="0"/>
                <w:numId w:val="22"/>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至少提供 60 种配色方案显示 VR 图像，并支持用户自定义不同组织的 CT 值透明度颜色曲线，来编辑配色方案</w:t>
            </w:r>
          </w:p>
          <w:p>
            <w:pPr>
              <w:pStyle w:val="30"/>
              <w:numPr>
                <w:ilvl w:val="0"/>
                <w:numId w:val="22"/>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支持定义新组织——通过放置种子点、膨胀等方法提取组织，并且可计算出组织体积， 同时用不同颜色和透明度进行定义</w:t>
            </w:r>
          </w:p>
          <w:p>
            <w:pPr>
              <w:pStyle w:val="30"/>
              <w:numPr>
                <w:ilvl w:val="0"/>
                <w:numId w:val="22"/>
              </w:numPr>
              <w:tabs>
                <w:tab w:val="left" w:pos="1386"/>
              </w:tabs>
              <w:snapToGrid w:val="0"/>
              <w:spacing w:line="180" w:lineRule="atLeast"/>
              <w:ind w:left="0" w:firstLine="0"/>
              <w:contextualSpacing w:val="0"/>
              <w:rPr>
                <w:rFonts w:ascii="宋体" w:hAnsi="宋体" w:eastAsia="宋体"/>
                <w:szCs w:val="21"/>
              </w:rPr>
            </w:pPr>
            <w:r>
              <w:rPr>
                <w:rFonts w:ascii="宋体" w:hAnsi="宋体" w:eastAsia="宋体"/>
                <w:bCs/>
                <w:szCs w:val="21"/>
              </w:rPr>
              <w:t>支持不同组织的容积显示</w:t>
            </w:r>
          </w:p>
          <w:p>
            <w:pPr>
              <w:pStyle w:val="30"/>
              <w:numPr>
                <w:ilvl w:val="0"/>
                <w:numId w:val="22"/>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支持对 VR 图像进行自定义切割、裁切面、层切割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bCs/>
                <w:szCs w:val="21"/>
              </w:rPr>
            </w:pPr>
            <w:r>
              <w:rPr>
                <w:rFonts w:hint="eastAsia" w:ascii="宋体" w:hAnsi="宋体" w:eastAsia="宋体"/>
                <w:szCs w:val="21"/>
              </w:rPr>
              <w:t>MPR\MIP</w:t>
            </w:r>
            <w:r>
              <w:rPr>
                <w:rFonts w:hint="eastAsia" w:ascii="宋体" w:hAnsi="宋体" w:eastAsia="宋体"/>
                <w:color w:val="000000"/>
                <w:szCs w:val="21"/>
              </w:rPr>
              <w:t>后处理软件</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3"/>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提供所投 PACS 系统制造商原厂的 MPR 高级后处理功能，不接受 OEM 第三方产品。</w:t>
            </w:r>
          </w:p>
          <w:p>
            <w:pPr>
              <w:pStyle w:val="30"/>
              <w:numPr>
                <w:ilvl w:val="0"/>
                <w:numId w:val="23"/>
              </w:numPr>
              <w:tabs>
                <w:tab w:val="left" w:pos="1386"/>
              </w:tabs>
              <w:snapToGrid w:val="0"/>
              <w:spacing w:line="180" w:lineRule="atLeast"/>
              <w:ind w:left="0" w:firstLine="0"/>
              <w:contextualSpacing w:val="0"/>
              <w:rPr>
                <w:rFonts w:ascii="宋体" w:hAnsi="宋体" w:eastAsia="宋体"/>
                <w:bCs/>
                <w:szCs w:val="21"/>
              </w:rPr>
            </w:pPr>
            <w:r>
              <w:rPr>
                <w:rFonts w:hint="eastAsia" w:ascii="宋体" w:hAnsi="宋体" w:eastAsia="宋体" w:cs="宋体"/>
                <w:bCs/>
                <w:szCs w:val="21"/>
              </w:rPr>
              <w:t>▲</w:t>
            </w:r>
            <w:r>
              <w:rPr>
                <w:rFonts w:ascii="宋体" w:hAnsi="宋体" w:eastAsia="宋体"/>
                <w:bCs/>
                <w:szCs w:val="21"/>
              </w:rPr>
              <w:t>MPR 高级后处理功能内嵌在 PACS 诊断工作站中。在进行 MPR 操作处理时，应该与 PACS 常规诊断在同一界面打开，而不会弹出单独窗口，简化医生操作流程。</w:t>
            </w:r>
          </w:p>
          <w:p>
            <w:pPr>
              <w:pStyle w:val="30"/>
              <w:numPr>
                <w:ilvl w:val="0"/>
                <w:numId w:val="23"/>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支持默认 MPR 布局模式，包括 MPR 标准布局、MPR2X2 布局、MPR 双斜角</w:t>
            </w:r>
          </w:p>
          <w:p>
            <w:pPr>
              <w:pStyle w:val="30"/>
              <w:numPr>
                <w:ilvl w:val="0"/>
                <w:numId w:val="23"/>
              </w:numPr>
              <w:tabs>
                <w:tab w:val="left" w:pos="1386"/>
              </w:tabs>
              <w:snapToGrid w:val="0"/>
              <w:spacing w:line="180" w:lineRule="atLeast"/>
              <w:ind w:left="0" w:firstLine="0"/>
              <w:contextualSpacing w:val="0"/>
              <w:rPr>
                <w:rFonts w:ascii="宋体" w:hAnsi="宋体" w:eastAsia="宋体"/>
                <w:bCs/>
                <w:szCs w:val="21"/>
              </w:rPr>
            </w:pPr>
            <w:bookmarkStart w:id="14" w:name="_Hlk140093628"/>
            <w:r>
              <w:rPr>
                <w:rFonts w:ascii="宋体" w:hAnsi="宋体" w:eastAsia="宋体"/>
                <w:bCs/>
                <w:szCs w:val="21"/>
              </w:rPr>
              <w:t>MPR 图像支持 MipPR、MinPR 的显示效果</w:t>
            </w:r>
          </w:p>
          <w:bookmarkEnd w:id="14"/>
          <w:p>
            <w:pPr>
              <w:pStyle w:val="30"/>
              <w:numPr>
                <w:ilvl w:val="0"/>
                <w:numId w:val="23"/>
              </w:numPr>
              <w:tabs>
                <w:tab w:val="left" w:pos="1386"/>
              </w:tabs>
              <w:snapToGrid w:val="0"/>
              <w:spacing w:line="180" w:lineRule="atLeast"/>
              <w:ind w:left="0" w:firstLine="0"/>
              <w:contextualSpacing w:val="0"/>
              <w:rPr>
                <w:rFonts w:ascii="宋体" w:hAnsi="宋体" w:eastAsia="宋体"/>
                <w:bCs/>
                <w:szCs w:val="21"/>
              </w:rPr>
            </w:pPr>
            <w:bookmarkStart w:id="15" w:name="_Hlk140094302"/>
            <w:r>
              <w:rPr>
                <w:rFonts w:ascii="宋体" w:hAnsi="宋体" w:eastAsia="宋体"/>
                <w:bCs/>
                <w:szCs w:val="21"/>
              </w:rPr>
              <w:t>支持四种显示效果层厚、层距的调节</w:t>
            </w:r>
          </w:p>
          <w:bookmarkEnd w:id="15"/>
          <w:p>
            <w:pPr>
              <w:pStyle w:val="30"/>
              <w:numPr>
                <w:ilvl w:val="0"/>
                <w:numId w:val="23"/>
              </w:numPr>
              <w:tabs>
                <w:tab w:val="left" w:pos="1386"/>
              </w:tabs>
              <w:snapToGrid w:val="0"/>
              <w:spacing w:line="180" w:lineRule="atLeast"/>
              <w:ind w:left="0" w:firstLine="0"/>
              <w:contextualSpacing w:val="0"/>
              <w:rPr>
                <w:rFonts w:ascii="宋体" w:hAnsi="宋体" w:eastAsia="宋体"/>
                <w:bCs/>
                <w:szCs w:val="21"/>
              </w:rPr>
            </w:pPr>
            <w:r>
              <w:rPr>
                <w:rFonts w:ascii="宋体" w:hAnsi="宋体" w:eastAsia="宋体"/>
                <w:bCs/>
                <w:szCs w:val="21"/>
              </w:rPr>
              <w:t>支持同一组图像用不同的窗宽/窗位值来显示，进行对比观察</w:t>
            </w:r>
          </w:p>
          <w:p>
            <w:pPr>
              <w:pStyle w:val="30"/>
              <w:numPr>
                <w:ilvl w:val="0"/>
                <w:numId w:val="23"/>
              </w:numPr>
              <w:tabs>
                <w:tab w:val="left" w:pos="1386"/>
              </w:tabs>
              <w:snapToGrid w:val="0"/>
              <w:spacing w:line="180" w:lineRule="atLeast"/>
              <w:ind w:left="0" w:firstLine="0"/>
              <w:contextualSpacing w:val="0"/>
              <w:rPr>
                <w:rFonts w:ascii="宋体" w:hAnsi="宋体" w:eastAsia="宋体"/>
                <w:bCs/>
                <w:szCs w:val="21"/>
              </w:rPr>
            </w:pPr>
            <w:bookmarkStart w:id="16" w:name="_Hlk140094580"/>
            <w:r>
              <w:rPr>
                <w:rFonts w:hint="eastAsia" w:ascii="宋体" w:hAnsi="宋体" w:eastAsia="宋体" w:cs="宋体"/>
                <w:bCs/>
                <w:szCs w:val="21"/>
              </w:rPr>
              <w:t>▲</w:t>
            </w:r>
            <w:r>
              <w:rPr>
                <w:rFonts w:ascii="宋体" w:hAnsi="宋体" w:eastAsia="宋体"/>
                <w:bCs/>
                <w:szCs w:val="21"/>
              </w:rPr>
              <w:t>支持曲面重建（CPR）（提供软件界面截图证明文件），可在任何参考图上勾勒直、曲线进行剖面的同心、平行模式观察</w:t>
            </w:r>
            <w:bookmarkEnd w:id="16"/>
            <w:r>
              <w:rPr>
                <w:rFonts w:ascii="宋体" w:hAnsi="宋体" w:eastAsia="宋体"/>
                <w:bCs/>
                <w:szCs w:val="21"/>
              </w:rPr>
              <w:t>。</w:t>
            </w:r>
          </w:p>
          <w:p>
            <w:pPr>
              <w:pStyle w:val="30"/>
              <w:numPr>
                <w:ilvl w:val="0"/>
                <w:numId w:val="23"/>
              </w:numPr>
              <w:tabs>
                <w:tab w:val="left" w:pos="1386"/>
              </w:tabs>
              <w:snapToGrid w:val="0"/>
              <w:spacing w:line="180" w:lineRule="atLeast"/>
              <w:ind w:left="0" w:firstLine="0"/>
              <w:contextualSpacing w:val="0"/>
              <w:rPr>
                <w:rFonts w:ascii="宋体" w:hAnsi="宋体" w:eastAsia="宋体"/>
                <w:szCs w:val="21"/>
              </w:rPr>
            </w:pPr>
            <w:r>
              <w:rPr>
                <w:rFonts w:ascii="宋体" w:hAnsi="宋体" w:eastAsia="宋体"/>
                <w:bCs/>
                <w:szCs w:val="21"/>
              </w:rPr>
              <w:t>支持</w:t>
            </w:r>
            <w:r>
              <w:rPr>
                <w:rFonts w:hint="eastAsia" w:ascii="宋体" w:hAnsi="宋体" w:eastAsia="宋体"/>
                <w:bCs/>
                <w:szCs w:val="21"/>
              </w:rPr>
              <w:t>多层面MPR</w:t>
            </w:r>
            <w:r>
              <w:rPr>
                <w:rFonts w:ascii="宋体" w:hAnsi="宋体" w:eastAsia="宋体"/>
                <w:bCs/>
                <w:szCs w:val="21"/>
              </w:rPr>
              <w:t>，方便医生观察组织、病灶的细节</w:t>
            </w:r>
          </w:p>
          <w:p>
            <w:pPr>
              <w:pStyle w:val="30"/>
              <w:numPr>
                <w:ilvl w:val="0"/>
                <w:numId w:val="23"/>
              </w:numPr>
              <w:tabs>
                <w:tab w:val="left" w:pos="1386"/>
              </w:tabs>
              <w:snapToGrid w:val="0"/>
              <w:spacing w:line="180" w:lineRule="atLeast"/>
              <w:ind w:left="0" w:firstLine="0"/>
              <w:contextualSpacing w:val="0"/>
              <w:rPr>
                <w:rFonts w:ascii="宋体" w:hAnsi="宋体" w:eastAsia="宋体"/>
                <w:szCs w:val="21"/>
              </w:rPr>
            </w:pPr>
            <w:r>
              <w:rPr>
                <w:rFonts w:ascii="宋体" w:hAnsi="宋体" w:eastAsia="宋体"/>
                <w:bCs/>
                <w:szCs w:val="21"/>
              </w:rPr>
              <w:t>支持双斜位—允许用户同时应用 3 个斜面调节观察一个容积数据，可同步旋转参照图像到任意方位。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auto"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olor w:val="000000"/>
                <w:szCs w:val="21"/>
              </w:rPr>
              <w:t>医用诊断竖屏</w:t>
            </w:r>
          </w:p>
        </w:tc>
        <w:tc>
          <w:tcPr>
            <w:tcW w:w="7717" w:type="dxa"/>
            <w:tcBorders>
              <w:top w:val="single" w:color="auto" w:sz="4" w:space="0"/>
              <w:left w:val="single" w:color="000000" w:sz="4" w:space="0"/>
              <w:bottom w:val="single" w:color="000000" w:sz="4" w:space="0"/>
              <w:right w:val="single" w:color="000000" w:sz="4" w:space="0"/>
            </w:tcBorders>
            <w:shd w:val="clear" w:color="auto" w:fill="auto"/>
          </w:tcPr>
          <w:p>
            <w:pPr>
              <w:spacing w:line="180" w:lineRule="atLeast"/>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szCs w:val="21"/>
              </w:rPr>
              <w:tab/>
            </w:r>
            <w:r>
              <w:rPr>
                <w:rFonts w:ascii="宋体" w:hAnsi="宋体" w:eastAsia="宋体" w:cs="Times New Roman"/>
                <w:szCs w:val="21"/>
              </w:rPr>
              <w:t>屏幕技术</w:t>
            </w:r>
            <w:r>
              <w:rPr>
                <w:rFonts w:ascii="宋体" w:hAnsi="宋体" w:eastAsia="宋体" w:cs="Times New Roman"/>
                <w:szCs w:val="21"/>
              </w:rPr>
              <w:tab/>
            </w:r>
            <w:r>
              <w:rPr>
                <w:rFonts w:ascii="宋体" w:hAnsi="宋体" w:eastAsia="宋体" w:cs="Times New Roman"/>
                <w:szCs w:val="21"/>
              </w:rPr>
              <w:t>IPS</w:t>
            </w:r>
          </w:p>
          <w:p>
            <w:pPr>
              <w:spacing w:line="180" w:lineRule="atLeast"/>
              <w:rPr>
                <w:rFonts w:ascii="宋体" w:hAnsi="宋体" w:eastAsia="宋体" w:cs="Times New Roman"/>
                <w:szCs w:val="21"/>
              </w:rPr>
            </w:pPr>
            <w:r>
              <w:rPr>
                <w:rFonts w:ascii="宋体" w:hAnsi="宋体" w:eastAsia="宋体" w:cs="Times New Roman"/>
                <w:szCs w:val="21"/>
              </w:rPr>
              <w:t>2</w:t>
            </w:r>
            <w:r>
              <w:rPr>
                <w:rFonts w:ascii="宋体" w:hAnsi="宋体" w:eastAsia="宋体" w:cs="Times New Roman"/>
                <w:szCs w:val="21"/>
              </w:rPr>
              <w:tab/>
            </w:r>
            <w:r>
              <w:rPr>
                <w:rFonts w:ascii="宋体" w:hAnsi="宋体" w:eastAsia="宋体" w:cs="Times New Roman"/>
                <w:szCs w:val="21"/>
              </w:rPr>
              <w:t>屏幕大小</w:t>
            </w:r>
            <w:r>
              <w:rPr>
                <w:rFonts w:ascii="宋体" w:hAnsi="宋体" w:eastAsia="宋体" w:cs="Times New Roman"/>
                <w:szCs w:val="21"/>
              </w:rPr>
              <w:tab/>
            </w:r>
            <w:r>
              <w:rPr>
                <w:rFonts w:hint="eastAsia" w:ascii="宋体" w:hAnsi="宋体" w:eastAsia="宋体" w:cs="Times New Roman"/>
                <w:szCs w:val="21"/>
              </w:rPr>
              <w:t>≥</w:t>
            </w:r>
            <w:r>
              <w:rPr>
                <w:rFonts w:ascii="宋体" w:hAnsi="宋体" w:eastAsia="宋体" w:cs="Times New Roman"/>
                <w:szCs w:val="21"/>
              </w:rPr>
              <w:t>21"</w:t>
            </w:r>
          </w:p>
          <w:p>
            <w:pPr>
              <w:spacing w:line="180" w:lineRule="atLeas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ab/>
            </w:r>
            <w:r>
              <w:rPr>
                <w:rFonts w:ascii="宋体" w:hAnsi="宋体" w:eastAsia="宋体" w:cs="Times New Roman"/>
                <w:szCs w:val="21"/>
              </w:rPr>
              <w:t>宽高比（H：V）</w:t>
            </w:r>
            <w:r>
              <w:rPr>
                <w:rFonts w:ascii="宋体" w:hAnsi="宋体" w:eastAsia="宋体" w:cs="Times New Roman"/>
                <w:szCs w:val="21"/>
              </w:rPr>
              <w:tab/>
            </w:r>
            <w:r>
              <w:rPr>
                <w:rFonts w:ascii="宋体" w:hAnsi="宋体" w:eastAsia="宋体" w:cs="Times New Roman"/>
                <w:szCs w:val="21"/>
              </w:rPr>
              <w:t>4:3</w:t>
            </w:r>
          </w:p>
          <w:p>
            <w:pPr>
              <w:spacing w:line="180" w:lineRule="atLeas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ab/>
            </w:r>
            <w:r>
              <w:rPr>
                <w:rFonts w:ascii="宋体" w:hAnsi="宋体" w:eastAsia="宋体" w:cs="Times New Roman"/>
                <w:szCs w:val="21"/>
              </w:rPr>
              <w:t>分辨率</w:t>
            </w:r>
            <w:r>
              <w:rPr>
                <w:rFonts w:ascii="宋体" w:hAnsi="宋体" w:eastAsia="宋体" w:cs="Times New Roman"/>
                <w:szCs w:val="21"/>
              </w:rPr>
              <w:tab/>
            </w:r>
            <w:r>
              <w:rPr>
                <w:rFonts w:ascii="宋体" w:hAnsi="宋体" w:eastAsia="宋体" w:cs="Times New Roman"/>
                <w:szCs w:val="21"/>
              </w:rPr>
              <w:t>3MP（2048×1536像素）</w:t>
            </w:r>
          </w:p>
          <w:p>
            <w:pPr>
              <w:spacing w:line="180" w:lineRule="atLeast"/>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ab/>
            </w:r>
            <w:r>
              <w:rPr>
                <w:rFonts w:ascii="宋体" w:hAnsi="宋体" w:eastAsia="宋体" w:cs="Times New Roman"/>
                <w:szCs w:val="21"/>
              </w:rPr>
              <w:t>像素度</w:t>
            </w:r>
            <w:r>
              <w:rPr>
                <w:rFonts w:ascii="宋体" w:hAnsi="宋体" w:eastAsia="宋体" w:cs="Times New Roman"/>
                <w:szCs w:val="21"/>
              </w:rPr>
              <w:tab/>
            </w:r>
            <w:r>
              <w:rPr>
                <w:rFonts w:ascii="宋体" w:hAnsi="宋体" w:eastAsia="宋体" w:cs="Times New Roman"/>
                <w:szCs w:val="21"/>
              </w:rPr>
              <w:t>0.2115毫米</w:t>
            </w:r>
          </w:p>
          <w:p>
            <w:pPr>
              <w:spacing w:line="180" w:lineRule="atLeast"/>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ab/>
            </w:r>
            <w:r>
              <w:rPr>
                <w:rFonts w:ascii="宋体" w:hAnsi="宋体" w:eastAsia="宋体" w:cs="Times New Roman"/>
                <w:szCs w:val="21"/>
              </w:rPr>
              <w:t>彩色成像</w:t>
            </w:r>
          </w:p>
          <w:p>
            <w:pPr>
              <w:spacing w:line="180" w:lineRule="atLeast"/>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ab/>
            </w:r>
            <w:r>
              <w:rPr>
                <w:rFonts w:ascii="宋体" w:hAnsi="宋体" w:eastAsia="宋体" w:cs="Times New Roman"/>
                <w:szCs w:val="21"/>
              </w:rPr>
              <w:t>灰色成像</w:t>
            </w:r>
          </w:p>
          <w:p>
            <w:pPr>
              <w:spacing w:line="180" w:lineRule="atLeast"/>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ab/>
            </w:r>
            <w:r>
              <w:rPr>
                <w:rFonts w:ascii="宋体" w:hAnsi="宋体" w:eastAsia="宋体" w:cs="Times New Roman"/>
                <w:szCs w:val="21"/>
              </w:rPr>
              <w:t>位深</w:t>
            </w:r>
            <w:r>
              <w:rPr>
                <w:rFonts w:ascii="宋体" w:hAnsi="宋体" w:eastAsia="宋体" w:cs="Times New Roman"/>
                <w:szCs w:val="21"/>
              </w:rPr>
              <w:tab/>
            </w:r>
            <w:r>
              <w:rPr>
                <w:rFonts w:ascii="宋体" w:hAnsi="宋体" w:eastAsia="宋体" w:cs="Times New Roman"/>
                <w:szCs w:val="21"/>
              </w:rPr>
              <w:t>30位</w:t>
            </w:r>
          </w:p>
          <w:p>
            <w:pPr>
              <w:spacing w:line="180" w:lineRule="atLeast"/>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ab/>
            </w:r>
            <w:r>
              <w:rPr>
                <w:rFonts w:ascii="宋体" w:hAnsi="宋体" w:eastAsia="宋体" w:cs="Times New Roman"/>
                <w:szCs w:val="21"/>
              </w:rPr>
              <w:t>视角（H，V）</w:t>
            </w:r>
            <w:r>
              <w:rPr>
                <w:rFonts w:ascii="宋体" w:hAnsi="宋体" w:eastAsia="宋体" w:cs="Times New Roman"/>
                <w:szCs w:val="21"/>
              </w:rPr>
              <w:tab/>
            </w:r>
            <w:r>
              <w:rPr>
                <w:rFonts w:ascii="宋体" w:hAnsi="宋体" w:eastAsia="宋体" w:cs="Times New Roman"/>
                <w:szCs w:val="21"/>
              </w:rPr>
              <w:t>178°</w:t>
            </w:r>
          </w:p>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0</w:t>
            </w:r>
            <w:r>
              <w:rPr>
                <w:rFonts w:ascii="宋体" w:hAnsi="宋体" w:eastAsia="宋体" w:cs="Times New Roman"/>
                <w:szCs w:val="21"/>
              </w:rPr>
              <w:tab/>
            </w:r>
            <w:r>
              <w:rPr>
                <w:rFonts w:ascii="宋体" w:hAnsi="宋体" w:eastAsia="宋体" w:cs="Times New Roman"/>
                <w:szCs w:val="21"/>
              </w:rPr>
              <w:t>均匀度校正</w:t>
            </w:r>
            <w:r>
              <w:rPr>
                <w:rFonts w:ascii="宋体" w:hAnsi="宋体" w:eastAsia="宋体" w:cs="Times New Roman"/>
                <w:szCs w:val="21"/>
              </w:rPr>
              <w:tab/>
            </w:r>
            <w:r>
              <w:rPr>
                <w:rFonts w:ascii="宋体" w:hAnsi="宋体" w:eastAsia="宋体" w:cs="Times New Roman"/>
                <w:szCs w:val="21"/>
              </w:rPr>
              <w:t>ULT</w:t>
            </w:r>
          </w:p>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1</w:t>
            </w:r>
            <w:r>
              <w:rPr>
                <w:rFonts w:ascii="宋体" w:hAnsi="宋体" w:eastAsia="宋体" w:cs="Times New Roman"/>
                <w:szCs w:val="21"/>
              </w:rPr>
              <w:tab/>
            </w:r>
            <w:r>
              <w:rPr>
                <w:rFonts w:ascii="宋体" w:hAnsi="宋体" w:eastAsia="宋体" w:cs="Times New Roman"/>
                <w:szCs w:val="21"/>
              </w:rPr>
              <w:t>环境光线预设</w:t>
            </w:r>
            <w:r>
              <w:rPr>
                <w:rFonts w:hint="eastAsia" w:ascii="宋体" w:hAnsi="宋体" w:eastAsia="宋体" w:cs="Times New Roman"/>
                <w:szCs w:val="21"/>
              </w:rPr>
              <w:t>功能</w:t>
            </w:r>
          </w:p>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w:t>
            </w:r>
            <w:r>
              <w:rPr>
                <w:rFonts w:ascii="宋体" w:hAnsi="宋体" w:eastAsia="宋体" w:cs="Times New Roman"/>
                <w:szCs w:val="21"/>
              </w:rPr>
              <w:tab/>
            </w:r>
            <w:r>
              <w:rPr>
                <w:rFonts w:ascii="宋体" w:hAnsi="宋体" w:eastAsia="宋体" w:cs="Times New Roman"/>
                <w:szCs w:val="21"/>
              </w:rPr>
              <w:t>前传感器</w:t>
            </w:r>
          </w:p>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w:t>
            </w:r>
            <w:r>
              <w:rPr>
                <w:rFonts w:ascii="宋体" w:hAnsi="宋体" w:eastAsia="宋体" w:cs="Times New Roman"/>
                <w:szCs w:val="21"/>
              </w:rPr>
              <w:tab/>
            </w:r>
            <w:r>
              <w:rPr>
                <w:rFonts w:ascii="宋体" w:hAnsi="宋体" w:eastAsia="宋体" w:cs="Times New Roman"/>
                <w:szCs w:val="21"/>
              </w:rPr>
              <w:t>最大亮度</w:t>
            </w:r>
            <w:r>
              <w:rPr>
                <w:rFonts w:ascii="宋体" w:hAnsi="宋体" w:eastAsia="宋体" w:cs="Times New Roman"/>
                <w:szCs w:val="21"/>
              </w:rPr>
              <w:tab/>
            </w:r>
            <w:r>
              <w:rPr>
                <w:rFonts w:ascii="宋体" w:hAnsi="宋体" w:eastAsia="宋体" w:cs="Times New Roman"/>
                <w:szCs w:val="21"/>
              </w:rPr>
              <w:t>1000cd/㎡</w:t>
            </w:r>
          </w:p>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4</w:t>
            </w:r>
            <w:r>
              <w:rPr>
                <w:rFonts w:ascii="宋体" w:hAnsi="宋体" w:eastAsia="宋体" w:cs="Times New Roman"/>
                <w:szCs w:val="21"/>
              </w:rPr>
              <w:tab/>
            </w:r>
            <w:r>
              <w:rPr>
                <w:rFonts w:ascii="宋体" w:hAnsi="宋体" w:eastAsia="宋体" w:cs="Times New Roman"/>
                <w:szCs w:val="21"/>
              </w:rPr>
              <w:t>DICOM校准亮度</w:t>
            </w:r>
            <w:r>
              <w:rPr>
                <w:rFonts w:ascii="宋体" w:hAnsi="宋体" w:eastAsia="宋体" w:cs="Times New Roman"/>
                <w:szCs w:val="21"/>
              </w:rPr>
              <w:tab/>
            </w:r>
            <w:r>
              <w:rPr>
                <w:rFonts w:ascii="宋体" w:hAnsi="宋体" w:eastAsia="宋体" w:cs="Times New Roman"/>
                <w:szCs w:val="21"/>
              </w:rPr>
              <w:t>500cd/㎡</w:t>
            </w:r>
          </w:p>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5</w:t>
            </w:r>
            <w:r>
              <w:rPr>
                <w:rFonts w:ascii="宋体" w:hAnsi="宋体" w:eastAsia="宋体" w:cs="Times New Roman"/>
                <w:szCs w:val="21"/>
              </w:rPr>
              <w:tab/>
            </w:r>
            <w:r>
              <w:rPr>
                <w:rFonts w:ascii="宋体" w:hAnsi="宋体" w:eastAsia="宋体" w:cs="Times New Roman"/>
                <w:szCs w:val="21"/>
              </w:rPr>
              <w:t>对比度</w:t>
            </w:r>
            <w:r>
              <w:rPr>
                <w:rFonts w:ascii="宋体" w:hAnsi="宋体" w:eastAsia="宋体" w:cs="Times New Roman"/>
                <w:szCs w:val="21"/>
              </w:rPr>
              <w:tab/>
            </w:r>
            <w:r>
              <w:rPr>
                <w:rFonts w:ascii="宋体" w:hAnsi="宋体" w:eastAsia="宋体" w:cs="Times New Roman"/>
                <w:szCs w:val="21"/>
              </w:rPr>
              <w:t>1400：1</w:t>
            </w:r>
          </w:p>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6</w:t>
            </w:r>
            <w:r>
              <w:rPr>
                <w:rFonts w:ascii="宋体" w:hAnsi="宋体" w:eastAsia="宋体" w:cs="Times New Roman"/>
                <w:szCs w:val="21"/>
              </w:rPr>
              <w:tab/>
            </w:r>
            <w:r>
              <w:rPr>
                <w:rFonts w:ascii="宋体" w:hAnsi="宋体" w:eastAsia="宋体" w:cs="Times New Roman"/>
                <w:szCs w:val="21"/>
              </w:rPr>
              <w:t>反应时间（（Tr+Tf）/2）</w:t>
            </w:r>
            <w:r>
              <w:rPr>
                <w:rFonts w:ascii="宋体" w:hAnsi="宋体" w:eastAsia="宋体" w:cs="Times New Roman"/>
                <w:szCs w:val="21"/>
              </w:rPr>
              <w:tab/>
            </w:r>
            <w:r>
              <w:rPr>
                <w:rFonts w:ascii="宋体" w:hAnsi="宋体" w:eastAsia="宋体" w:cs="Times New Roman"/>
                <w:szCs w:val="21"/>
              </w:rPr>
              <w:t>15毫秒</w:t>
            </w:r>
          </w:p>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7</w:t>
            </w:r>
            <w:r>
              <w:rPr>
                <w:rFonts w:ascii="宋体" w:hAnsi="宋体" w:eastAsia="宋体" w:cs="Times New Roman"/>
                <w:szCs w:val="21"/>
              </w:rPr>
              <w:tab/>
            </w:r>
            <w:r>
              <w:rPr>
                <w:rFonts w:ascii="宋体" w:hAnsi="宋体" w:eastAsia="宋体" w:cs="Times New Roman"/>
                <w:szCs w:val="21"/>
              </w:rPr>
              <w:t>视频输入信号</w:t>
            </w:r>
            <w:r>
              <w:rPr>
                <w:rFonts w:ascii="宋体" w:hAnsi="宋体" w:eastAsia="宋体" w:cs="Times New Roman"/>
                <w:szCs w:val="21"/>
              </w:rPr>
              <w:tab/>
            </w:r>
            <w:r>
              <w:rPr>
                <w:rFonts w:ascii="宋体" w:hAnsi="宋体" w:eastAsia="宋体" w:cs="Times New Roman"/>
                <w:szCs w:val="21"/>
              </w:rPr>
              <w:t>DVI-D双链路DisplayPort（DP）</w:t>
            </w:r>
          </w:p>
          <w:p>
            <w:pPr>
              <w:spacing w:line="180" w:lineRule="atLeast"/>
              <w:rPr>
                <w:rFonts w:ascii="宋体" w:hAnsi="宋体" w:eastAsia="宋体" w:cs="Times New Roman"/>
                <w:szCs w:val="21"/>
              </w:rPr>
            </w:pPr>
            <w:r>
              <w:rPr>
                <w:rFonts w:hint="eastAsia" w:ascii="宋体" w:hAnsi="宋体" w:eastAsia="宋体" w:cs="Times New Roman"/>
                <w:szCs w:val="21"/>
              </w:rPr>
              <w:t>18</w:t>
            </w:r>
            <w:r>
              <w:rPr>
                <w:rFonts w:ascii="宋体" w:hAnsi="宋体" w:eastAsia="宋体" w:cs="Times New Roman"/>
                <w:szCs w:val="21"/>
              </w:rPr>
              <w:tab/>
            </w:r>
            <w:r>
              <w:rPr>
                <w:rFonts w:ascii="宋体" w:hAnsi="宋体" w:eastAsia="宋体" w:cs="Times New Roman"/>
                <w:szCs w:val="21"/>
              </w:rPr>
              <w:t>USB端口</w:t>
            </w:r>
            <w:r>
              <w:rPr>
                <w:rFonts w:ascii="宋体" w:hAnsi="宋体" w:eastAsia="宋体" w:cs="Times New Roman"/>
                <w:szCs w:val="21"/>
              </w:rPr>
              <w:tab/>
            </w:r>
            <w:r>
              <w:rPr>
                <w:rFonts w:ascii="宋体" w:hAnsi="宋体" w:eastAsia="宋体" w:cs="Times New Roman"/>
                <w:szCs w:val="21"/>
              </w:rPr>
              <w:t>1×USB2.0上行（端点）3×USB2.0下行</w:t>
            </w:r>
          </w:p>
          <w:p>
            <w:pPr>
              <w:spacing w:line="180" w:lineRule="atLeast"/>
              <w:rPr>
                <w:rFonts w:ascii="宋体" w:hAnsi="宋体" w:eastAsia="宋体" w:cs="Times New Roman"/>
                <w:szCs w:val="21"/>
              </w:rPr>
            </w:pPr>
            <w:r>
              <w:rPr>
                <w:rFonts w:hint="eastAsia" w:ascii="宋体" w:hAnsi="宋体" w:eastAsia="宋体" w:cs="Times New Roman"/>
                <w:szCs w:val="21"/>
              </w:rPr>
              <w:t>19</w:t>
            </w:r>
            <w:r>
              <w:rPr>
                <w:rFonts w:ascii="宋体" w:hAnsi="宋体" w:eastAsia="宋体" w:cs="Times New Roman"/>
                <w:szCs w:val="21"/>
              </w:rPr>
              <w:tab/>
            </w:r>
            <w:r>
              <w:rPr>
                <w:rFonts w:ascii="宋体" w:hAnsi="宋体" w:eastAsia="宋体" w:cs="Times New Roman"/>
                <w:szCs w:val="21"/>
              </w:rPr>
              <w:t>高度调节范围</w:t>
            </w:r>
            <w:r>
              <w:rPr>
                <w:rFonts w:ascii="宋体" w:hAnsi="宋体" w:eastAsia="宋体" w:cs="Times New Roman"/>
                <w:szCs w:val="21"/>
              </w:rPr>
              <w:tab/>
            </w:r>
            <w:r>
              <w:rPr>
                <w:rFonts w:ascii="宋体" w:hAnsi="宋体" w:eastAsia="宋体" w:cs="Times New Roman"/>
                <w:szCs w:val="21"/>
              </w:rPr>
              <w:t>100毫米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olor w:val="000000"/>
                <w:szCs w:val="21"/>
              </w:rPr>
              <w:t>诊断工作站</w:t>
            </w:r>
          </w:p>
        </w:tc>
        <w:tc>
          <w:tcPr>
            <w:tcW w:w="7717" w:type="dxa"/>
            <w:tcBorders>
              <w:top w:val="single" w:color="000000" w:sz="4" w:space="0"/>
              <w:left w:val="single" w:color="000000" w:sz="4" w:space="0"/>
              <w:bottom w:val="single" w:color="000000" w:sz="4" w:space="0"/>
              <w:right w:val="single" w:color="000000" w:sz="4" w:space="0"/>
            </w:tcBorders>
          </w:tcPr>
          <w:p>
            <w:pPr>
              <w:spacing w:line="180" w:lineRule="atLeas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CPU：IntelI</w:t>
            </w:r>
            <w:r>
              <w:rPr>
                <w:rFonts w:hint="eastAsia" w:ascii="宋体" w:hAnsi="宋体" w:eastAsia="宋体" w:cs="Times New Roman"/>
                <w:szCs w:val="21"/>
              </w:rPr>
              <w:t>5及以上</w:t>
            </w:r>
          </w:p>
          <w:p>
            <w:pPr>
              <w:spacing w:line="180" w:lineRule="atLeas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操作系统：Windows 10  64bit专业版</w:t>
            </w:r>
            <w:r>
              <w:rPr>
                <w:rFonts w:hint="eastAsia" w:ascii="宋体" w:hAnsi="宋体" w:eastAsia="宋体" w:cs="Times New Roman"/>
                <w:szCs w:val="21"/>
              </w:rPr>
              <w:t>及以上</w:t>
            </w:r>
          </w:p>
          <w:p>
            <w:pPr>
              <w:spacing w:line="180" w:lineRule="atLeas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内存：</w:t>
            </w:r>
            <w:r>
              <w:rPr>
                <w:rFonts w:hint="eastAsia" w:ascii="宋体" w:hAnsi="宋体" w:eastAsia="宋体" w:cs="Times New Roman"/>
                <w:szCs w:val="21"/>
              </w:rPr>
              <w:t>≥</w:t>
            </w:r>
            <w:r>
              <w:rPr>
                <w:rFonts w:ascii="宋体" w:hAnsi="宋体" w:eastAsia="宋体" w:cs="Times New Roman"/>
                <w:szCs w:val="21"/>
              </w:rPr>
              <w:t>32GB</w:t>
            </w:r>
          </w:p>
          <w:p>
            <w:pPr>
              <w:spacing w:line="180" w:lineRule="atLeast"/>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硬盘：</w:t>
            </w:r>
            <w:r>
              <w:rPr>
                <w:rFonts w:hint="eastAsia" w:ascii="宋体" w:hAnsi="宋体" w:eastAsia="宋体" w:cs="Times New Roman"/>
                <w:szCs w:val="21"/>
              </w:rPr>
              <w:t>≥</w:t>
            </w:r>
            <w:r>
              <w:rPr>
                <w:rFonts w:ascii="宋体" w:hAnsi="宋体" w:eastAsia="宋体" w:cs="Times New Roman"/>
                <w:szCs w:val="21"/>
              </w:rPr>
              <w:t>256GB SSD+1TB SATA</w:t>
            </w:r>
          </w:p>
          <w:p>
            <w:pPr>
              <w:spacing w:line="180" w:lineRule="atLeast"/>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.双</w:t>
            </w:r>
            <w:r>
              <w:rPr>
                <w:rFonts w:ascii="宋体" w:hAnsi="宋体" w:eastAsia="宋体" w:cs="Times New Roman"/>
                <w:szCs w:val="21"/>
              </w:rPr>
              <w:t>显卡：集成显卡</w:t>
            </w:r>
            <w:r>
              <w:rPr>
                <w:rFonts w:hint="eastAsia" w:ascii="宋体" w:hAnsi="宋体" w:eastAsia="宋体" w:cs="Times New Roman"/>
                <w:szCs w:val="21"/>
              </w:rPr>
              <w:t xml:space="preserve"> + 医用诊断专用显卡</w:t>
            </w:r>
          </w:p>
          <w:p>
            <w:pPr>
              <w:spacing w:line="180" w:lineRule="atLeast"/>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声卡：板载声卡</w:t>
            </w:r>
          </w:p>
          <w:p>
            <w:pPr>
              <w:spacing w:line="180" w:lineRule="atLeast"/>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网卡：1000Mbps 以太网</w:t>
            </w:r>
          </w:p>
          <w:p>
            <w:pPr>
              <w:spacing w:line="180" w:lineRule="atLeast"/>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w:t>
            </w:r>
            <w:r>
              <w:rPr>
                <w:rFonts w:ascii="宋体" w:hAnsi="宋体" w:eastAsia="宋体" w:cs="Times New Roman"/>
                <w:szCs w:val="21"/>
              </w:rPr>
              <w:t>显示器：</w:t>
            </w:r>
            <w:r>
              <w:rPr>
                <w:rFonts w:hint="eastAsia" w:ascii="宋体" w:hAnsi="宋体" w:eastAsia="宋体" w:cs="Times New Roman"/>
                <w:szCs w:val="21"/>
              </w:rPr>
              <w:t>≥</w:t>
            </w:r>
            <w:r>
              <w:rPr>
                <w:rFonts w:ascii="宋体" w:hAnsi="宋体" w:eastAsia="宋体" w:cs="Times New Roman"/>
                <w:szCs w:val="21"/>
              </w:rPr>
              <w:t>21.5英寸  16:9</w:t>
            </w:r>
          </w:p>
          <w:p>
            <w:pPr>
              <w:spacing w:line="180" w:lineRule="atLeast"/>
              <w:rPr>
                <w:rFonts w:ascii="宋体" w:hAnsi="宋体" w:eastAsia="宋体" w:cs="Times New Roman"/>
                <w:szCs w:val="21"/>
              </w:rPr>
            </w:pPr>
            <w:r>
              <w:rPr>
                <w:rFonts w:ascii="宋体" w:hAnsi="宋体" w:eastAsia="宋体" w:cs="Times New Roman"/>
                <w:szCs w:val="21"/>
              </w:rPr>
              <w:t>9</w:t>
            </w:r>
            <w:r>
              <w:rPr>
                <w:rFonts w:hint="eastAsia" w:ascii="宋体" w:hAnsi="宋体" w:eastAsia="宋体" w:cs="Times New Roman"/>
                <w:szCs w:val="21"/>
              </w:rPr>
              <w:t>.</w:t>
            </w:r>
            <w:r>
              <w:rPr>
                <w:rFonts w:ascii="宋体" w:hAnsi="宋体" w:eastAsia="宋体" w:cs="Times New Roman"/>
                <w:szCs w:val="21"/>
              </w:rPr>
              <w:t>键盘：有线键盘</w:t>
            </w:r>
          </w:p>
          <w:p>
            <w:pPr>
              <w:spacing w:line="180" w:lineRule="atLeast"/>
              <w:rPr>
                <w:rFonts w:ascii="宋体" w:hAnsi="宋体" w:eastAsia="宋体" w:cs="Times New Roman"/>
                <w:szCs w:val="21"/>
              </w:rPr>
            </w:pPr>
            <w:r>
              <w:rPr>
                <w:rFonts w:ascii="宋体" w:hAnsi="宋体" w:eastAsia="宋体" w:cs="Times New Roman"/>
                <w:szCs w:val="21"/>
              </w:rPr>
              <w:t>10</w:t>
            </w:r>
            <w:r>
              <w:rPr>
                <w:rFonts w:hint="eastAsia" w:ascii="宋体" w:hAnsi="宋体" w:eastAsia="宋体" w:cs="Times New Roman"/>
                <w:szCs w:val="21"/>
              </w:rPr>
              <w:t>.</w:t>
            </w:r>
            <w:r>
              <w:rPr>
                <w:rFonts w:ascii="宋体" w:hAnsi="宋体" w:eastAsia="宋体" w:cs="Times New Roman"/>
                <w:szCs w:val="21"/>
              </w:rPr>
              <w:t>鼠标：有线鼠标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s="宋体"/>
                <w:color w:val="000000"/>
                <w:kern w:val="0"/>
                <w:szCs w:val="21"/>
              </w:rPr>
              <w:t>虚拟化资源池</w:t>
            </w:r>
          </w:p>
        </w:tc>
        <w:tc>
          <w:tcPr>
            <w:tcW w:w="7717" w:type="dxa"/>
            <w:tcBorders>
              <w:top w:val="single" w:color="000000" w:sz="4" w:space="0"/>
              <w:left w:val="single" w:color="000000" w:sz="4" w:space="0"/>
              <w:bottom w:val="single" w:color="000000" w:sz="4" w:space="0"/>
              <w:right w:val="single" w:color="000000" w:sz="4" w:space="0"/>
            </w:tcBorders>
          </w:tcPr>
          <w:p>
            <w:pPr>
              <w:widowControl/>
              <w:numPr>
                <w:ilvl w:val="0"/>
                <w:numId w:val="24"/>
              </w:numPr>
              <w:tabs>
                <w:tab w:val="left" w:pos="0"/>
              </w:tabs>
              <w:snapToGrid w:val="0"/>
              <w:spacing w:line="180" w:lineRule="atLeast"/>
              <w:rPr>
                <w:rFonts w:ascii="宋体" w:hAnsi="宋体" w:eastAsia="宋体"/>
                <w:szCs w:val="21"/>
              </w:rPr>
            </w:pPr>
            <w:r>
              <w:rPr>
                <w:rFonts w:hint="eastAsia" w:ascii="宋体" w:hAnsi="宋体" w:eastAsia="宋体"/>
                <w:szCs w:val="21"/>
              </w:rPr>
              <w:t>单节点虚拟化设备要求如下：提供X86处理器2颗，≥48个物理核，主频≥2.1GHz；提供≥256G内存资源；提供≥2*960G SSD硬盘资源；支持RAID 0/1/10/5，raid卡缓存≥4G；提供≥4个10G光口（含模块），≥2个1端口16Gb光接口（含万兆光模块）</w:t>
            </w:r>
          </w:p>
          <w:p>
            <w:pPr>
              <w:widowControl/>
              <w:numPr>
                <w:ilvl w:val="0"/>
                <w:numId w:val="24"/>
              </w:numPr>
              <w:tabs>
                <w:tab w:val="left" w:pos="0"/>
              </w:tabs>
              <w:snapToGrid w:val="0"/>
              <w:spacing w:line="180" w:lineRule="atLeast"/>
              <w:rPr>
                <w:rFonts w:ascii="宋体" w:hAnsi="宋体" w:eastAsia="宋体"/>
                <w:szCs w:val="21"/>
              </w:rPr>
            </w:pPr>
            <w:r>
              <w:rPr>
                <w:rFonts w:hint="eastAsia" w:ascii="宋体" w:hAnsi="宋体" w:eastAsia="宋体"/>
                <w:szCs w:val="21"/>
              </w:rPr>
              <w:t>数量：≥6节点</w:t>
            </w:r>
          </w:p>
          <w:p>
            <w:pPr>
              <w:widowControl/>
              <w:numPr>
                <w:ilvl w:val="0"/>
                <w:numId w:val="24"/>
              </w:numPr>
              <w:tabs>
                <w:tab w:val="left" w:pos="0"/>
              </w:tabs>
              <w:snapToGrid w:val="0"/>
              <w:spacing w:line="180" w:lineRule="atLeast"/>
              <w:rPr>
                <w:rFonts w:ascii="宋体" w:hAnsi="宋体" w:eastAsia="宋体"/>
                <w:szCs w:val="21"/>
              </w:rPr>
            </w:pPr>
            <w:r>
              <w:rPr>
                <w:rFonts w:hint="eastAsia" w:ascii="宋体" w:hAnsi="宋体" w:eastAsia="宋体"/>
                <w:szCs w:val="21"/>
              </w:rPr>
              <w:t>部件冗余性：硬件设备的模块风扇冗余</w:t>
            </w:r>
          </w:p>
          <w:p>
            <w:pPr>
              <w:widowControl/>
              <w:numPr>
                <w:ilvl w:val="0"/>
                <w:numId w:val="24"/>
              </w:numPr>
              <w:tabs>
                <w:tab w:val="left" w:pos="0"/>
              </w:tabs>
              <w:snapToGrid w:val="0"/>
              <w:spacing w:line="180" w:lineRule="atLeast"/>
              <w:rPr>
                <w:rFonts w:ascii="宋体" w:hAnsi="宋体" w:eastAsia="宋体"/>
                <w:szCs w:val="21"/>
              </w:rPr>
            </w:pPr>
            <w:r>
              <w:rPr>
                <w:rFonts w:hint="eastAsia" w:ascii="宋体" w:hAnsi="宋体" w:eastAsia="宋体"/>
                <w:szCs w:val="21"/>
              </w:rPr>
              <w:t>支持实现小集群的统一管理，包括电源管理、HDM和KVM访问，以及批量删除。</w:t>
            </w:r>
          </w:p>
          <w:p>
            <w:pPr>
              <w:widowControl/>
              <w:numPr>
                <w:ilvl w:val="0"/>
                <w:numId w:val="24"/>
              </w:numPr>
              <w:tabs>
                <w:tab w:val="left" w:pos="0"/>
              </w:tabs>
              <w:snapToGrid w:val="0"/>
              <w:spacing w:line="180" w:lineRule="atLeast"/>
              <w:rPr>
                <w:rFonts w:ascii="宋体" w:hAnsi="宋体" w:eastAsia="宋体"/>
                <w:szCs w:val="21"/>
              </w:rPr>
            </w:pPr>
            <w:r>
              <w:rPr>
                <w:rFonts w:hint="eastAsia" w:ascii="宋体" w:hAnsi="宋体" w:eastAsia="宋体"/>
                <w:szCs w:val="21"/>
              </w:rPr>
              <w:t>支持批量部署操作系统，部署时可选择将操作系统安装指定目标盘</w:t>
            </w:r>
          </w:p>
          <w:p>
            <w:pPr>
              <w:widowControl/>
              <w:numPr>
                <w:ilvl w:val="0"/>
                <w:numId w:val="24"/>
              </w:numPr>
              <w:tabs>
                <w:tab w:val="left" w:pos="0"/>
              </w:tabs>
              <w:snapToGrid w:val="0"/>
              <w:spacing w:line="180" w:lineRule="atLeast"/>
              <w:rPr>
                <w:rFonts w:ascii="宋体" w:hAnsi="宋体" w:eastAsia="宋体"/>
                <w:szCs w:val="21"/>
              </w:rPr>
            </w:pPr>
            <w:r>
              <w:rPr>
                <w:rFonts w:hint="eastAsia" w:ascii="宋体" w:hAnsi="宋体" w:eastAsia="宋体"/>
                <w:szCs w:val="21"/>
              </w:rPr>
              <w:t>支持带外升级BIOS、BMC版本，可通过BMC界面带外一次升级多个部件的固件（如网卡部件、存储卡部件等）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s="宋体"/>
                <w:color w:val="000000"/>
                <w:kern w:val="0"/>
                <w:szCs w:val="21"/>
              </w:rPr>
              <w:t>光纤交换机</w:t>
            </w:r>
          </w:p>
        </w:tc>
        <w:tc>
          <w:tcPr>
            <w:tcW w:w="7717" w:type="dxa"/>
            <w:tcBorders>
              <w:top w:val="single" w:color="000000" w:sz="4" w:space="0"/>
              <w:left w:val="single" w:color="000000" w:sz="4" w:space="0"/>
              <w:bottom w:val="single" w:color="000000" w:sz="4" w:space="0"/>
              <w:right w:val="single" w:color="000000" w:sz="4" w:space="0"/>
            </w:tcBorders>
            <w:vAlign w:val="center"/>
          </w:tcPr>
          <w:p>
            <w:pPr>
              <w:numPr>
                <w:ilvl w:val="0"/>
                <w:numId w:val="25"/>
              </w:numPr>
              <w:tabs>
                <w:tab w:val="left" w:pos="238"/>
              </w:tabs>
              <w:snapToGrid w:val="0"/>
              <w:spacing w:line="180" w:lineRule="atLeast"/>
              <w:rPr>
                <w:rFonts w:ascii="宋体" w:hAnsi="宋体" w:eastAsia="宋体"/>
                <w:bCs/>
                <w:szCs w:val="21"/>
                <w:lang w:val="nl-NL"/>
              </w:rPr>
            </w:pPr>
            <w:r>
              <w:rPr>
                <w:rFonts w:hint="eastAsia" w:ascii="宋体" w:hAnsi="宋体" w:eastAsia="宋体"/>
                <w:bCs/>
                <w:szCs w:val="21"/>
                <w:lang w:val="nl-NL"/>
              </w:rPr>
              <w:t>机架式安装，无拥塞架构设计。最大支持32Gb端口速率；本次实配24端口并激活8端口；配置8个16Gb SFP模块。</w:t>
            </w:r>
          </w:p>
          <w:p>
            <w:pPr>
              <w:numPr>
                <w:ilvl w:val="0"/>
                <w:numId w:val="25"/>
              </w:numPr>
              <w:tabs>
                <w:tab w:val="left" w:pos="238"/>
              </w:tabs>
              <w:snapToGrid w:val="0"/>
              <w:spacing w:line="180" w:lineRule="atLeast"/>
              <w:rPr>
                <w:rFonts w:ascii="宋体" w:hAnsi="宋体" w:eastAsia="宋体"/>
                <w:bCs/>
                <w:szCs w:val="21"/>
                <w:lang w:val="nl-NL"/>
              </w:rPr>
            </w:pPr>
            <w:r>
              <w:rPr>
                <w:rFonts w:hint="eastAsia" w:ascii="宋体" w:hAnsi="宋体" w:eastAsia="宋体"/>
                <w:bCs/>
                <w:szCs w:val="21"/>
                <w:lang w:val="nl-NL"/>
              </w:rPr>
              <w:t>能够在线进行微码升级、更换与激活或增加新的硬件模块。</w:t>
            </w:r>
          </w:p>
          <w:p>
            <w:pPr>
              <w:numPr>
                <w:ilvl w:val="0"/>
                <w:numId w:val="25"/>
              </w:numPr>
              <w:tabs>
                <w:tab w:val="left" w:pos="238"/>
              </w:tabs>
              <w:snapToGrid w:val="0"/>
              <w:spacing w:line="180" w:lineRule="atLeast"/>
              <w:rPr>
                <w:rFonts w:ascii="宋体" w:hAnsi="宋体" w:eastAsia="宋体"/>
                <w:bCs/>
                <w:szCs w:val="21"/>
                <w:lang w:val="nl-NL"/>
              </w:rPr>
            </w:pPr>
            <w:r>
              <w:rPr>
                <w:rFonts w:hint="eastAsia" w:ascii="宋体" w:hAnsi="宋体" w:eastAsia="宋体"/>
                <w:bCs/>
                <w:szCs w:val="21"/>
                <w:lang w:val="nl-NL"/>
              </w:rPr>
              <w:t>满足上述硬件所需完整配件及相关软件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s="宋体"/>
                <w:color w:val="000000"/>
                <w:kern w:val="0"/>
                <w:szCs w:val="21"/>
              </w:rPr>
              <w:t>分布式存储</w:t>
            </w:r>
          </w:p>
        </w:tc>
        <w:tc>
          <w:tcPr>
            <w:tcW w:w="77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提供软硬件一体机产品（或服务器与分布式软件统一品牌），不接受纯软件+第三方服务器投标。本次配置不限容量的文件存储服务授权许可；</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本次配置≥3节点。单节点配置X86架构处理器2颗，单CPU主频≥2.0GHz，核数≥16核，内存≥256G，系统盘≥2*480G，缓存盘≥4块3.2T NVMe MU SSD，数据盘≥12块16T HDD硬盘，网卡≥4个万兆并满配万兆多模光模块，≥4个千兆电端口，配置≥1块raid卡，缓存≥4GB，冗余电源及风扇模块。</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文件存储支持NFS/CIFS/SMB/FTP/HTTP协议。</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支持将随机小IO聚合为顺序大IO，提升读写性能，降低硬盘磨损。</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支持节点间智能负载均衡功能，支持按照轮询、CPU使用率、剩余内存容量、客户端连接数、网络吞吐量、综合负载等多种方式，实时选择最优的节点用于业务分担。</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支持存储加密，数据通过标准的商密和国密算法（AES、SM4）以密文落盘进行存储，裸盘直接读取的文件为密文。</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支持多副本保护机制，允许用户在线调整设置副本数量，须提供具备CNAS/CMA资质检测报告复印件作为证明。</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Scale-out横向扩展的分布式架构。节点间完全对称，无独立的元数据物理服务器或索引服务器</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支持分布式存储基本的可靠性保障，如集群扩容、硬盘故障、节点故障均不影响数据完整性。</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支持块、文件、对象存储的pool级重删。开启重删后，对存储池内写入数据进行比较，重复数据仅保留一份，删除其他的重复数据，节省存储空间。须提供具备CNAS/CMA资质检测报告复印件作为证明。</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仅需在客户端配置1个DNS server，实现对多个物理集群域名解析，减少客户端侧配置DNS SERVER的数量。须提供具备CNAS/CMA资质检测报告复印件作为证明。</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支持WORM技术，一次写入后禁止删除，有效保障数据安全性，支持手动或自动提交文件为保护状态，支持配置过期内容可修改或过期不可修改</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用户可从文件大小、创建时间、修改时间、最后一次访问时间等维度对指定文件或者目录进行分级存储，实现热温冷数据的自动迁移，业务侧无感知。须提供具备CNAS/CMA资质检测报告复印件作为证明。</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支持无损快照数据保护，使用 ROW(Redirect on Write)快照技术，对单一共享文件夹连续快照负载下，IOPS性能变化幅度小于5%。须提供具备CNAS/CMA资质检测报告复印件作为证明。</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支持对SSD 硬盘进行寿命进行预测，可在WEB界面查看寿命百分比，便于后期管理保障数据安全。</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支持对硬盘故障检测，提前感知硬盘故障风险并预警；支持对存储容量增长趋势进行预测；支持对系统性能增长进行预测。</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支持卷回收站，在存储卷被删除后，会进入回收站防止误操作，防止数据误删除。支持设置卷回收站的定时清理时间。</w:t>
            </w:r>
          </w:p>
          <w:p>
            <w:pPr>
              <w:widowControl/>
              <w:numPr>
                <w:ilvl w:val="0"/>
                <w:numId w:val="26"/>
              </w:numPr>
              <w:tabs>
                <w:tab w:val="left" w:pos="0"/>
              </w:tabs>
              <w:snapToGrid w:val="0"/>
              <w:spacing w:line="180" w:lineRule="atLeast"/>
              <w:rPr>
                <w:rFonts w:ascii="宋体" w:hAnsi="宋体" w:eastAsia="宋体"/>
                <w:bCs/>
                <w:szCs w:val="21"/>
                <w:lang w:val="nl-NL"/>
              </w:rPr>
            </w:pPr>
            <w:r>
              <w:rPr>
                <w:rFonts w:hint="eastAsia" w:ascii="宋体" w:hAnsi="宋体" w:eastAsia="宋体"/>
                <w:bCs/>
                <w:szCs w:val="21"/>
                <w:lang w:val="nl-NL"/>
              </w:rPr>
              <w:t>支持文件级快照。支持对快照中的某一个具体文件，进行回滚操作，而不是对整个目录进行回滚。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s="宋体"/>
                <w:color w:val="000000"/>
                <w:kern w:val="0"/>
                <w:szCs w:val="21"/>
              </w:rPr>
              <w:t>互联交换机</w:t>
            </w:r>
          </w:p>
        </w:tc>
        <w:tc>
          <w:tcPr>
            <w:tcW w:w="7717"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交换容量≥2.56Tbps，转发性能≥360Mpps，以官网所列最低参数为准</w:t>
            </w:r>
          </w:p>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高度≥1U，固定万兆光接口≥24个，其中≥2个combo 1/2.5/5/10G Base-T以太网口，单台配置≥8个万兆多模光模块，满配电源模块</w:t>
            </w:r>
          </w:p>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工作环境温度-5ºC～45ºC</w:t>
            </w:r>
          </w:p>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整机最大路由地址表≥16K，整机最大ARP地址表≥16K，整机最大MAC地址表≥32K</w:t>
            </w:r>
          </w:p>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支持IPv4静态路由、RIP、OSPF、ISIS、BGP；支持IPv6静态路由、RIPng、OSPFv3、ISISv6、BGP4+</w:t>
            </w:r>
          </w:p>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支持CPU保护功能</w:t>
            </w:r>
          </w:p>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支持VxLAN二层互通；支持VxLAN集中式网关互通功能；支持EVPN分布式网关二三层互通功能</w:t>
            </w:r>
          </w:p>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支持MPLS L2VPN功能；支持MPLS L3VPN功能</w:t>
            </w:r>
          </w:p>
          <w:p>
            <w:pPr>
              <w:pStyle w:val="30"/>
              <w:widowControl/>
              <w:numPr>
                <w:ilvl w:val="0"/>
                <w:numId w:val="27"/>
              </w:numPr>
              <w:tabs>
                <w:tab w:val="left" w:pos="0"/>
              </w:tabs>
              <w:snapToGrid w:val="0"/>
              <w:spacing w:line="180" w:lineRule="atLeast"/>
              <w:rPr>
                <w:rFonts w:ascii="宋体" w:hAnsi="宋体" w:eastAsia="宋体"/>
                <w:bCs/>
                <w:szCs w:val="21"/>
              </w:rPr>
            </w:pPr>
            <w:r>
              <w:rPr>
                <w:rFonts w:hint="eastAsia" w:ascii="宋体" w:hAnsi="宋体" w:eastAsia="宋体"/>
                <w:bCs/>
                <w:szCs w:val="21"/>
              </w:rPr>
              <w:t>支持BFD FOR VRRP功能，最大堆叠台数&gt;=9台</w:t>
            </w:r>
          </w:p>
          <w:p>
            <w:pPr>
              <w:pStyle w:val="30"/>
              <w:widowControl/>
              <w:numPr>
                <w:ilvl w:val="0"/>
                <w:numId w:val="27"/>
              </w:numPr>
              <w:tabs>
                <w:tab w:val="left" w:pos="0"/>
              </w:tabs>
              <w:snapToGrid w:val="0"/>
              <w:spacing w:line="180" w:lineRule="atLeast"/>
              <w:contextualSpacing w:val="0"/>
              <w:rPr>
                <w:rFonts w:ascii="宋体" w:hAnsi="宋体" w:eastAsia="宋体"/>
                <w:bCs/>
                <w:szCs w:val="21"/>
              </w:rPr>
            </w:pPr>
            <w:r>
              <w:rPr>
                <w:rFonts w:hint="eastAsia" w:ascii="宋体" w:hAnsi="宋体" w:eastAsia="宋体"/>
                <w:bCs/>
                <w:szCs w:val="21"/>
              </w:rPr>
              <w:t>支持基于端口的VLAN，支持基于协议的VLAN；支持基于MAC的VLAN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s="宋体"/>
                <w:color w:val="000000"/>
                <w:kern w:val="0"/>
                <w:szCs w:val="21"/>
              </w:rPr>
              <w:t>高速存储1</w:t>
            </w:r>
          </w:p>
        </w:tc>
        <w:tc>
          <w:tcPr>
            <w:tcW w:w="7717" w:type="dxa"/>
            <w:tcBorders>
              <w:top w:val="single" w:color="000000" w:sz="4" w:space="0"/>
              <w:left w:val="single" w:color="000000" w:sz="4" w:space="0"/>
              <w:bottom w:val="single" w:color="000000" w:sz="4" w:space="0"/>
              <w:right w:val="single" w:color="000000" w:sz="4" w:space="0"/>
            </w:tcBorders>
          </w:tcPr>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配置2个存储控制器，每个控制器配置2颗处理器，要求至少有一颗为X86架构存储处理器且存储处理器核数≥10核，主频≥2.2GHz。</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2个存储控制器为Active-Active状态，当一个控制器损坏后，对前端数据读写无影响。</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从主机端口到硬盘全路径支持基于硬件的并符合业界标准的T10-PI数据一致性检测，保障数据的一致性。</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配置16Gbps FC主机端口≥8个，支持16Gbps FC，10GbE/25GbE接口等，最大支持16个主机端口。</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配置高速缓存≥256GB（缓存不包含SSD磁盘、PCI-E SSD、闪存、压缩或重删缓存）。配置24块3.84TB 企业级SSD硬盘。</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支持高可靠性RAID级别，支持多类型磁盘多方向、无中断在线数据迁移，迁移过程不影响业务性能。</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当SSD硬盘故障后可高速完成重构。每TB容量重构时间≤20分钟。须提供具备CNAS/CMA资质检测报告复印件作为证明。</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配置智能管理运维平台，提供基于机器学习及大数据分析的智能管理运维技术。</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可提供工作负载整合功能。即提供新增数据卷的存储选择功能，可以根据饱和值得预测来选择新增卷的位置。须提供具备CNAS/CMA资质检测报告复印件作为证明。</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▲当一台存储Raid损坏或失效时，存储会发生切换，从而保证数据不丢失及业务持续。须提供具备CNAS/CMA资质检测报告复印件作为证明。</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配置全容量许可精简功能，实现存储空间超分配，后续扩容无需额外购买许可。</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配置全容量许可的克隆功能，后续扩容无需额外购买许可。</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配置全容量许可快照功能，有效预防各种软故障的发生，后续扩容无需额外购买许可。</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配置存储QoS授权许可，支持单卷设置IOPS、带宽、响应时间的上限和下限。</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配置全容量许可的在线重删压缩功能，可针对指定LUN进行开启或关闭操作，后续扩容无需额外购买许可。</w:t>
            </w:r>
          </w:p>
          <w:p>
            <w:pPr>
              <w:pStyle w:val="30"/>
              <w:numPr>
                <w:ilvl w:val="0"/>
                <w:numId w:val="28"/>
              </w:numPr>
              <w:tabs>
                <w:tab w:val="left" w:pos="0"/>
              </w:tabs>
              <w:snapToGrid w:val="0"/>
              <w:spacing w:line="180" w:lineRule="atLeast"/>
              <w:rPr>
                <w:rFonts w:ascii="宋体" w:hAnsi="宋体" w:eastAsia="宋体"/>
                <w:bCs/>
                <w:szCs w:val="21"/>
              </w:rPr>
            </w:pPr>
            <w:r>
              <w:rPr>
                <w:rFonts w:hint="eastAsia" w:ascii="宋体" w:hAnsi="宋体" w:eastAsia="宋体"/>
                <w:bCs/>
                <w:szCs w:val="21"/>
              </w:rPr>
              <w:t>服务：提供原厂安装及三年原厂维保服务。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s="宋体"/>
                <w:color w:val="000000"/>
                <w:kern w:val="0"/>
                <w:szCs w:val="21"/>
              </w:rPr>
              <w:t>高速存储2</w:t>
            </w:r>
          </w:p>
        </w:tc>
        <w:tc>
          <w:tcPr>
            <w:tcW w:w="7717" w:type="dxa"/>
            <w:tcBorders>
              <w:top w:val="single" w:color="000000" w:sz="4" w:space="0"/>
              <w:left w:val="single" w:color="000000" w:sz="4" w:space="0"/>
              <w:bottom w:val="single" w:color="000000" w:sz="4" w:space="0"/>
              <w:right w:val="single" w:color="000000" w:sz="4" w:space="0"/>
            </w:tcBorders>
          </w:tcPr>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配置2个存储控制器，每个控制器配置2颗处理器，要求至少有一颗为X86架构存储处理器且存储处理器核数≥10核，主频≥2.2GHz。</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2个存储控制器为Active-Active状态，当一个控制器损坏后，对前端数据读写无影响。</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从主机端口到硬盘全路径支持基于硬件的并符合业界标准的T10-PI数据一致性检测，保障数据的一致性。</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配置16Gbps FC主机端口≥8个，支持16Gbps FC，10GbE/25GbE接口等，最大支持16个主机端口。</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配置高速缓存≥256GB（缓存不包含SSD磁盘、PCI-E SSD、闪存、压缩或重删缓存）。配置18块3.84TB 企业级SSD硬盘。</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支持高可靠性RAID级别，支持多类型磁盘多方向、无中断在线数据迁移，迁移过程不影响业务性能。</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▲当SSD硬盘故障后可高速完成重构。每TB容量重构时间≤20分钟。须提供具备CNAS/CMA资质检测报告复印件作为证明。</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配置智能管理运维平台，提供基于机器学习及大数据分析的智能管理运维技术。</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可提供工作负载整合功能。即提供新增数据卷的存储选择功能，可以根据饱和值得预测来选择新增卷的位置。须提供具备CNAS/CMA资质检测报告复印件作为证明。</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当一台存储Raid损坏或失效时，存储会发生切换，从而保证数据不丢失及业务持续。须提供具备CNAS/CMA资质检测报告复印件作为证明。</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配置全容量许可精简功能，实现存储空间超分配，后续扩容无需额外购买许可。</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配置全容量许可的克隆功能，后续扩容无需额外购买许可。</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配置全容量许可快照功能，有效预防各种软故障的发生，后续扩容无需额外购买许可。</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配置存储QoS授权许可，支持单卷设置IOPS、带宽、响应时间的上限和下限。</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配置全容量许可的在线重删压缩功能，可针对指定LUN进行开启或关闭操作，后续扩容无需额外购买许可。</w:t>
            </w:r>
          </w:p>
          <w:p>
            <w:pPr>
              <w:pStyle w:val="30"/>
              <w:numPr>
                <w:ilvl w:val="0"/>
                <w:numId w:val="29"/>
              </w:numPr>
              <w:tabs>
                <w:tab w:val="left" w:pos="0"/>
              </w:tabs>
              <w:snapToGrid w:val="0"/>
              <w:spacing w:line="180" w:lineRule="atLeast"/>
              <w:rPr>
                <w:rFonts w:ascii="宋体" w:hAnsi="宋体" w:eastAsia="宋体"/>
                <w:bCs/>
                <w:szCs w:val="21"/>
              </w:rPr>
            </w:pPr>
            <w:r>
              <w:rPr>
                <w:rFonts w:hint="eastAsia" w:ascii="宋体" w:hAnsi="宋体" w:eastAsia="宋体"/>
                <w:bCs/>
                <w:szCs w:val="21"/>
              </w:rPr>
              <w:t>服务：提供原厂安装及三年原厂维保服务。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cs="宋体"/>
                <w:color w:val="000000"/>
                <w:kern w:val="0"/>
                <w:szCs w:val="21"/>
              </w:rPr>
              <w:t>星云后处理工作站升级</w:t>
            </w:r>
          </w:p>
        </w:tc>
        <w:tc>
          <w:tcPr>
            <w:tcW w:w="7717" w:type="dxa"/>
            <w:tcBorders>
              <w:top w:val="single" w:color="000000" w:sz="4" w:space="0"/>
              <w:left w:val="single" w:color="000000" w:sz="4" w:space="0"/>
              <w:bottom w:val="single" w:color="000000" w:sz="4" w:space="0"/>
              <w:right w:val="single" w:color="000000" w:sz="4" w:space="0"/>
            </w:tcBorders>
          </w:tcPr>
          <w:p>
            <w:pPr>
              <w:tabs>
                <w:tab w:val="left" w:pos="0"/>
              </w:tabs>
              <w:snapToGrid w:val="0"/>
              <w:spacing w:line="180" w:lineRule="atLeast"/>
              <w:rPr>
                <w:rFonts w:ascii="宋体" w:hAnsi="宋体" w:eastAsia="宋体"/>
                <w:bCs/>
                <w:szCs w:val="21"/>
              </w:rPr>
            </w:pPr>
            <w:r>
              <w:rPr>
                <w:rFonts w:hint="eastAsia" w:ascii="宋体" w:hAnsi="宋体" w:eastAsia="宋体"/>
                <w:bCs/>
                <w:szCs w:val="21"/>
              </w:rPr>
              <w:t>1.整体技术参数要求</w:t>
            </w:r>
          </w:p>
          <w:p>
            <w:pPr>
              <w:numPr>
                <w:ilvl w:val="0"/>
                <w:numId w:val="30"/>
              </w:numPr>
              <w:tabs>
                <w:tab w:val="left" w:pos="0"/>
                <w:tab w:val="left" w:pos="904"/>
              </w:tabs>
              <w:autoSpaceDE w:val="0"/>
              <w:autoSpaceDN w:val="0"/>
              <w:snapToGrid w:val="0"/>
              <w:spacing w:line="180" w:lineRule="atLeast"/>
              <w:ind w:left="0" w:hanging="59"/>
              <w:rPr>
                <w:rFonts w:ascii="宋体" w:hAnsi="宋体" w:eastAsia="宋体"/>
                <w:bCs/>
                <w:szCs w:val="21"/>
                <w:lang w:val="nl-NL"/>
              </w:rPr>
            </w:pPr>
            <w:r>
              <w:rPr>
                <w:rFonts w:hint="eastAsia" w:ascii="宋体" w:hAnsi="宋体" w:eastAsia="宋体"/>
                <w:bCs/>
                <w:szCs w:val="21"/>
                <w:lang w:val="nl-NL"/>
              </w:rPr>
              <w:t>采用瘦客户端机制，影像后处理完全基于服务器处理，客户端 PC 只做结果显示，不保留任何影像数据；</w:t>
            </w:r>
          </w:p>
          <w:p>
            <w:pPr>
              <w:numPr>
                <w:ilvl w:val="0"/>
                <w:numId w:val="30"/>
              </w:numPr>
              <w:tabs>
                <w:tab w:val="left" w:pos="0"/>
                <w:tab w:val="left" w:pos="904"/>
              </w:tabs>
              <w:autoSpaceDE w:val="0"/>
              <w:autoSpaceDN w:val="0"/>
              <w:snapToGrid w:val="0"/>
              <w:spacing w:line="180" w:lineRule="atLeast"/>
              <w:ind w:left="0" w:hanging="59"/>
              <w:rPr>
                <w:rFonts w:ascii="宋体" w:hAnsi="宋体" w:eastAsia="宋体"/>
                <w:bCs/>
                <w:szCs w:val="21"/>
                <w:lang w:val="nl-NL"/>
              </w:rPr>
            </w:pPr>
            <w:r>
              <w:rPr>
                <w:rFonts w:hint="eastAsia" w:ascii="宋体" w:hAnsi="宋体" w:eastAsia="宋体"/>
                <w:bCs/>
                <w:szCs w:val="21"/>
                <w:lang w:val="nl-NL"/>
              </w:rPr>
              <w:t>具有全方位的高级医学影像后处理覆盖范围，具备医学影像科(CT,MR,NM 等)、心血管、外周血管等高级医学影像后处理工具临床应用模块。</w:t>
            </w:r>
          </w:p>
          <w:p>
            <w:pPr>
              <w:numPr>
                <w:ilvl w:val="0"/>
                <w:numId w:val="30"/>
              </w:numPr>
              <w:tabs>
                <w:tab w:val="left" w:pos="0"/>
                <w:tab w:val="left" w:pos="904"/>
              </w:tabs>
              <w:autoSpaceDE w:val="0"/>
              <w:autoSpaceDN w:val="0"/>
              <w:snapToGrid w:val="0"/>
              <w:spacing w:line="180" w:lineRule="atLeast"/>
              <w:ind w:left="0" w:hanging="59"/>
              <w:rPr>
                <w:rFonts w:ascii="宋体" w:hAnsi="宋体" w:eastAsia="宋体"/>
                <w:bCs/>
                <w:szCs w:val="21"/>
                <w:lang w:val="nl-NL"/>
              </w:rPr>
            </w:pPr>
            <w:r>
              <w:rPr>
                <w:rFonts w:hint="eastAsia" w:ascii="宋体" w:hAnsi="宋体" w:eastAsia="宋体"/>
                <w:bCs/>
                <w:szCs w:val="21"/>
                <w:lang w:val="nl-NL"/>
              </w:rPr>
              <w:t>全并发：要求能够实现 5 个用户既可以同时处理相同的重建工作、也可以同时处理不同的重建工作，做到 5 个用户的 100%全并发、全功能的诊断级客户端；</w:t>
            </w:r>
          </w:p>
          <w:p>
            <w:pPr>
              <w:numPr>
                <w:ilvl w:val="0"/>
                <w:numId w:val="30"/>
              </w:numPr>
              <w:tabs>
                <w:tab w:val="left" w:pos="0"/>
                <w:tab w:val="left" w:pos="904"/>
              </w:tabs>
              <w:autoSpaceDE w:val="0"/>
              <w:autoSpaceDN w:val="0"/>
              <w:snapToGrid w:val="0"/>
              <w:spacing w:line="180" w:lineRule="atLeast"/>
              <w:ind w:left="0" w:hanging="59"/>
              <w:rPr>
                <w:rFonts w:ascii="宋体" w:hAnsi="宋体" w:eastAsia="宋体"/>
                <w:bCs/>
                <w:szCs w:val="21"/>
                <w:lang w:val="nl-NL"/>
              </w:rPr>
            </w:pPr>
            <w:r>
              <w:rPr>
                <w:rFonts w:hint="eastAsia" w:ascii="宋体" w:hAnsi="宋体" w:eastAsia="宋体"/>
                <w:bCs/>
                <w:szCs w:val="21"/>
                <w:lang w:val="nl-NL"/>
              </w:rPr>
              <w:t>跨设备：全面无缝兼容主流医学影像设备厂家的高端设备：64 排以上 CT、1.5/3.0T 磁共振、PET-CT,PET-MR, SPECT 等</w:t>
            </w:r>
          </w:p>
          <w:p>
            <w:pPr>
              <w:tabs>
                <w:tab w:val="left" w:pos="0"/>
              </w:tabs>
              <w:snapToGrid w:val="0"/>
              <w:spacing w:line="180" w:lineRule="atLeast"/>
              <w:rPr>
                <w:rFonts w:ascii="宋体" w:hAnsi="宋体" w:eastAsia="宋体"/>
                <w:bCs/>
                <w:szCs w:val="21"/>
              </w:rPr>
            </w:pPr>
            <w:r>
              <w:rPr>
                <w:rFonts w:hint="eastAsia" w:ascii="宋体" w:hAnsi="宋体" w:eastAsia="宋体"/>
                <w:bCs/>
                <w:szCs w:val="21"/>
              </w:rPr>
              <w:t>2.授权并发用户数，须提供 5 个授权并发用户，满足任意 5 个后处理终端的稳定运行</w:t>
            </w:r>
          </w:p>
          <w:p>
            <w:pPr>
              <w:tabs>
                <w:tab w:val="left" w:pos="0"/>
              </w:tabs>
              <w:snapToGrid w:val="0"/>
              <w:spacing w:line="180" w:lineRule="atLeast"/>
              <w:rPr>
                <w:rFonts w:ascii="宋体" w:hAnsi="宋体" w:eastAsia="宋体"/>
                <w:bCs/>
                <w:szCs w:val="21"/>
              </w:rPr>
            </w:pPr>
            <w:r>
              <w:rPr>
                <w:rFonts w:hint="eastAsia" w:ascii="宋体" w:hAnsi="宋体" w:eastAsia="宋体"/>
                <w:bCs/>
                <w:szCs w:val="21"/>
              </w:rPr>
              <w:t>3.高级脑灌注软件</w:t>
            </w:r>
            <w:r>
              <w:rPr>
                <w:rFonts w:hint="eastAsia" w:ascii="宋体" w:hAnsi="宋体" w:eastAsia="宋体"/>
                <w:bCs/>
                <w:szCs w:val="21"/>
              </w:rPr>
              <w:tab/>
            </w:r>
          </w:p>
          <w:p>
            <w:pPr>
              <w:tabs>
                <w:tab w:val="left" w:pos="0"/>
                <w:tab w:val="left" w:pos="904"/>
              </w:tabs>
              <w:autoSpaceDE w:val="0"/>
              <w:autoSpaceDN w:val="0"/>
              <w:snapToGrid w:val="0"/>
              <w:spacing w:line="180" w:lineRule="atLeast"/>
              <w:rPr>
                <w:rFonts w:ascii="宋体" w:hAnsi="宋体" w:eastAsia="宋体"/>
                <w:bCs/>
                <w:szCs w:val="21"/>
                <w:lang w:val="nl-NL"/>
              </w:rPr>
            </w:pPr>
            <w:r>
              <w:rPr>
                <w:rFonts w:hint="eastAsia" w:ascii="宋体" w:hAnsi="宋体" w:eastAsia="宋体"/>
                <w:bCs/>
                <w:szCs w:val="21"/>
              </w:rPr>
              <w:t xml:space="preserve">3.1 </w:t>
            </w:r>
            <w:r>
              <w:rPr>
                <w:rFonts w:hint="eastAsia" w:ascii="宋体" w:hAnsi="宋体" w:eastAsia="宋体"/>
                <w:bCs/>
                <w:szCs w:val="21"/>
                <w:lang w:val="nl-NL"/>
              </w:rPr>
              <w:t>灌注成像软件包须可以区分脑部血流增加的体积和血流减少的区域，并且将这些血流信息描绘成图谱，这些图谱帮助临床医生诊断可以恢复的组织（半暗带） 和不能恢复的组织。脑灌注成像需要提供运动校正， 噪声抑制技术，并且要求容易操作，能提高诊断效率。静脉注射造影剂后，对脑部进行连续扫描，获取造影剂在脑组织的强化情况，计算脑组织的时间-密度曲线。根据脑血流（CBF），脑血容量（CBV），平均通过时间（MTT），到达峰值时间（TTP）等数据绘制伪彩地图，进而形成概述地图，为再灌注治疗提供依据。</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4</w:t>
            </w:r>
            <w:r>
              <w:rPr>
                <w:rFonts w:hint="eastAsia" w:ascii="宋体" w:hAnsi="宋体" w:eastAsia="宋体"/>
                <w:bCs/>
                <w:szCs w:val="21"/>
              </w:rPr>
              <w:tab/>
            </w:r>
            <w:r>
              <w:rPr>
                <w:rFonts w:hint="eastAsia" w:ascii="宋体" w:hAnsi="宋体" w:eastAsia="宋体"/>
                <w:bCs/>
                <w:szCs w:val="21"/>
              </w:rPr>
              <w:t>高 级 血 管狭 窄 分 析软件</w:t>
            </w:r>
            <w:r>
              <w:rPr>
                <w:rFonts w:hint="eastAsia" w:ascii="宋体" w:hAnsi="宋体" w:eastAsia="宋体"/>
                <w:bCs/>
                <w:szCs w:val="21"/>
              </w:rPr>
              <w:tab/>
            </w:r>
          </w:p>
          <w:p>
            <w:pPr>
              <w:tabs>
                <w:tab w:val="left" w:pos="0"/>
              </w:tabs>
              <w:snapToGrid w:val="0"/>
              <w:spacing w:line="180" w:lineRule="atLeast"/>
              <w:ind w:firstLine="8"/>
              <w:rPr>
                <w:rFonts w:ascii="宋体" w:hAnsi="宋体" w:eastAsia="宋体"/>
                <w:bCs/>
                <w:szCs w:val="21"/>
              </w:rPr>
            </w:pPr>
            <w:r>
              <w:rPr>
                <w:rFonts w:hint="eastAsia" w:ascii="宋体" w:hAnsi="宋体" w:eastAsia="宋体"/>
                <w:bCs/>
                <w:szCs w:val="21"/>
              </w:rPr>
              <w:t>4.1在造影剂增强的血管中，测量和分析血管狭窄和动脉瘤的特性，如量化数据、范围、位置、程度和形态， 等具有诊断价值的信息可以智能化的自动生成血管的（主动脉、肾动脉等） 的中心线，血管的垂直剖面，可精确测量血管狭窄和动脉瘤的截面积；形成的报告中须包括图形和数字， 显示血管的截面直径、内腔面积、长度（狭窄血管和动脉瘤）、标准误差和狭窄百分比。</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此模块软件须支持对CT和MR两种设备的扫描数据进行分析。</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5</w:t>
            </w:r>
            <w:r>
              <w:rPr>
                <w:rFonts w:hint="eastAsia" w:ascii="宋体" w:hAnsi="宋体" w:eastAsia="宋体"/>
                <w:bCs/>
                <w:szCs w:val="21"/>
              </w:rPr>
              <w:tab/>
            </w:r>
            <w:r>
              <w:rPr>
                <w:rFonts w:hint="eastAsia" w:ascii="宋体" w:hAnsi="宋体" w:eastAsia="宋体"/>
                <w:bCs/>
                <w:szCs w:val="21"/>
              </w:rPr>
              <w:t>体 灌 注 分析软件</w:t>
            </w:r>
            <w:r>
              <w:rPr>
                <w:rFonts w:hint="eastAsia" w:ascii="宋体" w:hAnsi="宋体" w:eastAsia="宋体"/>
                <w:bCs/>
                <w:szCs w:val="21"/>
              </w:rPr>
              <w:tab/>
            </w:r>
          </w:p>
          <w:p>
            <w:pPr>
              <w:tabs>
                <w:tab w:val="left" w:pos="0"/>
              </w:tabs>
              <w:snapToGrid w:val="0"/>
              <w:spacing w:line="180" w:lineRule="atLeast"/>
              <w:ind w:firstLine="8"/>
              <w:rPr>
                <w:rFonts w:ascii="宋体" w:hAnsi="宋体" w:eastAsia="宋体"/>
                <w:bCs/>
                <w:szCs w:val="21"/>
              </w:rPr>
            </w:pPr>
            <w:r>
              <w:rPr>
                <w:rFonts w:hint="eastAsia" w:ascii="宋体" w:hAnsi="宋体" w:eastAsia="宋体"/>
                <w:bCs/>
                <w:szCs w:val="21"/>
              </w:rPr>
              <w:t>5.1 CT体部灌注软件须可以提供肝脏、肾脏等图像和定量化的血流灌注参数，包括感兴趣组织器官动脉流入、静脉流出和靶区域的时间密度曲线等参数。</w:t>
            </w:r>
          </w:p>
          <w:p>
            <w:pPr>
              <w:tabs>
                <w:tab w:val="left" w:pos="0"/>
              </w:tabs>
              <w:snapToGrid w:val="0"/>
              <w:spacing w:line="180" w:lineRule="atLeast"/>
              <w:ind w:firstLine="8"/>
              <w:rPr>
                <w:rFonts w:ascii="宋体" w:hAnsi="宋体" w:eastAsia="宋体"/>
                <w:bCs/>
                <w:szCs w:val="21"/>
              </w:rPr>
            </w:pPr>
            <w:r>
              <w:rPr>
                <w:rFonts w:hint="eastAsia" w:ascii="宋体" w:hAnsi="宋体" w:eastAsia="宋体"/>
                <w:bCs/>
                <w:szCs w:val="21"/>
              </w:rPr>
              <w:t>5.2 CT体部灌注软件可以专门用于肿瘤治疗，它通过研究注射造影剂团注之后动脉组织与静脉增强之间的关系来检测、跟踪肿瘤血供情况。CT体部灌注软件 有多种处理模式可供选择，可分别用于分析常规单入口模式灌注，及双入口模式灌注如肝脏灌注等</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6</w:t>
            </w:r>
            <w:r>
              <w:rPr>
                <w:rFonts w:hint="eastAsia" w:ascii="宋体" w:hAnsi="宋体" w:eastAsia="宋体"/>
                <w:bCs/>
                <w:szCs w:val="21"/>
              </w:rPr>
              <w:tab/>
            </w:r>
            <w:r>
              <w:rPr>
                <w:rFonts w:hint="eastAsia" w:ascii="宋体" w:hAnsi="宋体" w:eastAsia="宋体"/>
                <w:bCs/>
                <w:szCs w:val="21"/>
              </w:rPr>
              <w:t>钙化积分</w:t>
            </w:r>
            <w:r>
              <w:rPr>
                <w:rFonts w:hint="eastAsia" w:ascii="宋体" w:hAnsi="宋体" w:eastAsia="宋体"/>
                <w:bCs/>
                <w:szCs w:val="21"/>
              </w:rPr>
              <w:tab/>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6.1快速定量计算冠状动脉钙化程度，可以用 Mass,Agaton 和积分量报告结果</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7</w:t>
            </w:r>
            <w:r>
              <w:rPr>
                <w:rFonts w:hint="eastAsia" w:ascii="宋体" w:hAnsi="宋体" w:eastAsia="宋体"/>
                <w:bCs/>
                <w:szCs w:val="21"/>
              </w:rPr>
              <w:tab/>
            </w:r>
            <w:r>
              <w:rPr>
                <w:rFonts w:hint="eastAsia" w:ascii="宋体" w:hAnsi="宋体" w:eastAsia="宋体"/>
                <w:bCs/>
                <w:szCs w:val="21"/>
              </w:rPr>
              <w:t>CT 全息心脏分析软件包</w:t>
            </w:r>
            <w:r>
              <w:rPr>
                <w:rFonts w:hint="eastAsia" w:ascii="宋体" w:hAnsi="宋体" w:eastAsia="宋体"/>
                <w:bCs/>
                <w:szCs w:val="21"/>
              </w:rPr>
              <w:tab/>
            </w:r>
          </w:p>
          <w:p>
            <w:pPr>
              <w:tabs>
                <w:tab w:val="left" w:pos="0"/>
              </w:tabs>
              <w:snapToGrid w:val="0"/>
              <w:spacing w:line="180" w:lineRule="atLeast"/>
              <w:ind w:firstLine="420" w:firstLineChars="200"/>
              <w:rPr>
                <w:rFonts w:ascii="宋体" w:hAnsi="宋体" w:eastAsia="宋体"/>
                <w:bCs/>
                <w:szCs w:val="21"/>
              </w:rPr>
            </w:pPr>
            <w:r>
              <w:rPr>
                <w:rFonts w:hint="eastAsia" w:ascii="宋体" w:hAnsi="宋体" w:eastAsia="宋体"/>
                <w:bCs/>
                <w:szCs w:val="21"/>
              </w:rPr>
              <w:t>全息心脏自动分析软件包要求是一套完整的心脏分析和评估软件包，具有简化工作流程和降低人工操作的特点。这套高科技的心脏分析工具可以智能化重建冠脉树、完成详细的冠状动脉评估，同时还可进行心室功能分析。可以显著降低心脏评估的时间和复杂程度，更快捷、更精确、更迅速地获得临床检查结果。须包含以下功能：</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1）智能化重建冠脉树、完成详细的冠状动脉评估；</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2）可进行心室功能分析</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3）可“0 点击”实现智能骨去除、全期相的心脏智能分割。</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4）可实现球型、三维地图和二维平铺显示</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5）智能分离并绘制中心线</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6）具有狭窄计算功能</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7）具备容积重建能力，实现完全提取冠脉树并显示全部的心血管及包含来自主动脉的血管，已评估开口形态；实现可变层厚浏览和多平面观察、电影回放容积，重建图像；</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8）可对脏器及血管的局部进行独立观察，实时调整血管的清晰、光滑、锐利度；</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9）可进行左右心室功能分析，包含牛眼模式显示；</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10） 可实时显示当前观察野在 C 形臂血管机上的投照角度</w:t>
            </w:r>
          </w:p>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8零键点击</w:t>
            </w:r>
            <w:r>
              <w:rPr>
                <w:rFonts w:hint="eastAsia" w:ascii="宋体" w:hAnsi="宋体" w:eastAsia="宋体"/>
                <w:bCs/>
                <w:szCs w:val="21"/>
              </w:rPr>
              <w:tab/>
            </w:r>
          </w:p>
          <w:p>
            <w:pPr>
              <w:tabs>
                <w:tab w:val="left" w:pos="0"/>
              </w:tabs>
              <w:snapToGrid w:val="0"/>
              <w:spacing w:line="180" w:lineRule="atLeast"/>
              <w:ind w:firstLine="420" w:firstLineChars="200"/>
              <w:rPr>
                <w:rFonts w:ascii="宋体" w:hAnsi="宋体" w:eastAsia="宋体"/>
                <w:bCs/>
                <w:szCs w:val="21"/>
              </w:rPr>
            </w:pPr>
            <w:r>
              <w:rPr>
                <w:rFonts w:hint="eastAsia" w:ascii="宋体" w:hAnsi="宋体" w:eastAsia="宋体"/>
                <w:bCs/>
                <w:szCs w:val="21"/>
              </w:rPr>
              <w:t>此项目须能实现零点击自动化处理下列临床功能无需任何用户交互： 自动预处理去除骨和血管分割内的高级血管分析（AVA）应用 CT 血管造影（CTA）的情况下， 自动分割内的心脏解剖的心脏综合分析应用。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pStyle w:val="30"/>
              <w:numPr>
                <w:ilvl w:val="0"/>
                <w:numId w:val="2"/>
              </w:numPr>
              <w:snapToGrid w:val="0"/>
              <w:spacing w:line="180" w:lineRule="atLeast"/>
              <w:contextualSpacing w:val="0"/>
              <w:jc w:val="center"/>
              <w:textAlignment w:val="center"/>
              <w:rPr>
                <w:rFonts w:ascii="宋体" w:hAnsi="宋体" w:eastAsia="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180" w:lineRule="atLeast"/>
              <w:rPr>
                <w:rFonts w:ascii="宋体" w:hAnsi="宋体" w:eastAsia="宋体"/>
                <w:szCs w:val="21"/>
                <w:lang w:val="de-DE"/>
              </w:rPr>
            </w:pPr>
            <w:r>
              <w:rPr>
                <w:rFonts w:hint="eastAsia" w:ascii="宋体" w:hAnsi="宋体" w:eastAsia="宋体"/>
                <w:szCs w:val="21"/>
                <w:lang w:val="de-DE"/>
              </w:rPr>
              <w:t>维保要求</w:t>
            </w:r>
          </w:p>
        </w:tc>
        <w:tc>
          <w:tcPr>
            <w:tcW w:w="7717" w:type="dxa"/>
            <w:tcBorders>
              <w:top w:val="single" w:color="000000" w:sz="4" w:space="0"/>
              <w:left w:val="single" w:color="000000" w:sz="4" w:space="0"/>
              <w:bottom w:val="single" w:color="000000" w:sz="4" w:space="0"/>
              <w:right w:val="single" w:color="000000" w:sz="4" w:space="0"/>
            </w:tcBorders>
          </w:tcPr>
          <w:p>
            <w:pPr>
              <w:tabs>
                <w:tab w:val="left" w:pos="0"/>
              </w:tabs>
              <w:snapToGrid w:val="0"/>
              <w:spacing w:line="180" w:lineRule="atLeast"/>
              <w:ind w:left="227" w:hanging="227"/>
              <w:rPr>
                <w:rFonts w:ascii="宋体" w:hAnsi="宋体" w:eastAsia="宋体"/>
                <w:bCs/>
                <w:szCs w:val="21"/>
              </w:rPr>
            </w:pPr>
            <w:r>
              <w:rPr>
                <w:rFonts w:hint="eastAsia" w:ascii="宋体" w:hAnsi="宋体" w:eastAsia="宋体"/>
                <w:bCs/>
                <w:szCs w:val="21"/>
              </w:rPr>
              <w:t>原厂3年免费维保</w:t>
            </w:r>
          </w:p>
        </w:tc>
      </w:tr>
    </w:tbl>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Songti SC">
    <w:altName w:val="微软雅黑"/>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984"/>
    <w:multiLevelType w:val="multilevel"/>
    <w:tmpl w:val="00852984"/>
    <w:lvl w:ilvl="0" w:tentative="0">
      <w:start w:val="1"/>
      <w:numFmt w:val="decimal"/>
      <w:lvlText w:val="%1."/>
      <w:lvlJc w:val="left"/>
      <w:pPr>
        <w:ind w:left="838" w:hanging="420"/>
      </w:pPr>
      <w:rPr>
        <w:rFonts w:hint="default"/>
        <w:lang w:val="de-DE"/>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1">
    <w:nsid w:val="029E272E"/>
    <w:multiLevelType w:val="multilevel"/>
    <w:tmpl w:val="029E272E"/>
    <w:lvl w:ilvl="0" w:tentative="0">
      <w:start w:val="1"/>
      <w:numFmt w:val="decimal"/>
      <w:suff w:val="space"/>
      <w:lvlText w:val="%1."/>
      <w:lvlJc w:val="left"/>
      <w:pPr>
        <w:ind w:left="561" w:hanging="420"/>
      </w:pPr>
      <w:rPr>
        <w:rFonts w:hint="default"/>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2">
    <w:nsid w:val="03B3083C"/>
    <w:multiLevelType w:val="multilevel"/>
    <w:tmpl w:val="03B3083C"/>
    <w:lvl w:ilvl="0" w:tentative="0">
      <w:start w:val="1"/>
      <w:numFmt w:val="decimal"/>
      <w:lvlText w:val="%1."/>
      <w:lvlJc w:val="left"/>
      <w:pPr>
        <w:ind w:left="838" w:hanging="420"/>
      </w:pPr>
      <w:rPr>
        <w:rFonts w:hint="default"/>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3">
    <w:nsid w:val="04991C29"/>
    <w:multiLevelType w:val="multilevel"/>
    <w:tmpl w:val="04991C29"/>
    <w:lvl w:ilvl="0" w:tentative="0">
      <w:start w:val="1"/>
      <w:numFmt w:val="decimal"/>
      <w:suff w:val="space"/>
      <w:lvlText w:val="%1."/>
      <w:lvlJc w:val="left"/>
      <w:pPr>
        <w:ind w:left="360" w:hanging="360"/>
      </w:pPr>
      <w:rPr>
        <w:rFonts w:hint="eastAsia"/>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4">
    <w:nsid w:val="0765C268"/>
    <w:multiLevelType w:val="multilevel"/>
    <w:tmpl w:val="0765C268"/>
    <w:lvl w:ilvl="0" w:tentative="0">
      <w:start w:val="1"/>
      <w:numFmt w:val="decimal"/>
      <w:lvlText w:val="%1."/>
      <w:lvlJc w:val="left"/>
      <w:pPr>
        <w:ind w:left="838" w:hanging="420"/>
      </w:pPr>
      <w:rPr>
        <w:rFonts w:hint="default"/>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5">
    <w:nsid w:val="096D44F1"/>
    <w:multiLevelType w:val="multilevel"/>
    <w:tmpl w:val="096D44F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C4F710E"/>
    <w:multiLevelType w:val="multilevel"/>
    <w:tmpl w:val="0C4F710E"/>
    <w:lvl w:ilvl="0" w:tentative="0">
      <w:start w:val="1"/>
      <w:numFmt w:val="decimal"/>
      <w:suff w:val="space"/>
      <w:lvlText w:val="1.%1"/>
      <w:lvlJc w:val="left"/>
      <w:pPr>
        <w:ind w:left="720" w:hanging="360"/>
      </w:pPr>
      <w:rPr>
        <w:rFonts w:hint="eastAsia"/>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7">
    <w:nsid w:val="15354723"/>
    <w:multiLevelType w:val="multilevel"/>
    <w:tmpl w:val="15354723"/>
    <w:lvl w:ilvl="0" w:tentative="0">
      <w:start w:val="1"/>
      <w:numFmt w:val="decimal"/>
      <w:suff w:val="space"/>
      <w:lvlText w:val="%1."/>
      <w:lvlJc w:val="left"/>
      <w:pPr>
        <w:ind w:left="56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BB4770"/>
    <w:multiLevelType w:val="multilevel"/>
    <w:tmpl w:val="16BB4770"/>
    <w:lvl w:ilvl="0" w:tentative="0">
      <w:start w:val="1"/>
      <w:numFmt w:val="decimal"/>
      <w:suff w:val="space"/>
      <w:lvlText w:val="%1."/>
      <w:lvlJc w:val="left"/>
      <w:pPr>
        <w:ind w:left="56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98F291E"/>
    <w:multiLevelType w:val="multilevel"/>
    <w:tmpl w:val="198F291E"/>
    <w:lvl w:ilvl="0" w:tentative="0">
      <w:start w:val="1"/>
      <w:numFmt w:val="decimal"/>
      <w:lvlText w:val="%1."/>
      <w:lvlJc w:val="left"/>
      <w:pPr>
        <w:ind w:left="838" w:hanging="420"/>
      </w:pPr>
      <w:rPr>
        <w:rFonts w:hint="default"/>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10">
    <w:nsid w:val="1B5C5B3B"/>
    <w:multiLevelType w:val="multilevel"/>
    <w:tmpl w:val="1B5C5B3B"/>
    <w:lvl w:ilvl="0" w:tentative="0">
      <w:start w:val="1"/>
      <w:numFmt w:val="decimal"/>
      <w:suff w:val="space"/>
      <w:lvlText w:val="%1"/>
      <w:lvlJc w:val="left"/>
      <w:pPr>
        <w:ind w:left="420" w:hanging="420"/>
      </w:pPr>
      <w:rPr>
        <w:rFonts w:hint="eastAsia"/>
      </w:rPr>
    </w:lvl>
    <w:lvl w:ilvl="1" w:tentative="0">
      <w:start w:val="1"/>
      <w:numFmt w:val="bullet"/>
      <w:lvlText w:val="▲"/>
      <w:lvlJc w:val="left"/>
      <w:pPr>
        <w:ind w:left="780" w:hanging="360"/>
      </w:pPr>
      <w:rPr>
        <w:rFonts w:hint="eastAsia" w:ascii="微软雅黑" w:hAnsi="微软雅黑" w:eastAsia="微软雅黑" w:cs="Calibri Ligh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2A3C89"/>
    <w:multiLevelType w:val="multilevel"/>
    <w:tmpl w:val="1C2A3C89"/>
    <w:lvl w:ilvl="0" w:tentative="0">
      <w:start w:val="1"/>
      <w:numFmt w:val="decimal"/>
      <w:lvlText w:val="7.%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D340432"/>
    <w:multiLevelType w:val="multilevel"/>
    <w:tmpl w:val="1D340432"/>
    <w:lvl w:ilvl="0" w:tentative="0">
      <w:start w:val="1"/>
      <w:numFmt w:val="decimal"/>
      <w:lvlText w:val="3.%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EAD7D67"/>
    <w:multiLevelType w:val="multilevel"/>
    <w:tmpl w:val="1EAD7D6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EF009ED"/>
    <w:multiLevelType w:val="multilevel"/>
    <w:tmpl w:val="1EF009ED"/>
    <w:lvl w:ilvl="0" w:tentative="0">
      <w:start w:val="1"/>
      <w:numFmt w:val="decimal"/>
      <w:suff w:val="space"/>
      <w:lvlText w:val="%1."/>
      <w:lvlJc w:val="left"/>
      <w:pPr>
        <w:ind w:left="561" w:hanging="420"/>
      </w:pPr>
      <w:rPr>
        <w:rFonts w:hint="default"/>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15">
    <w:nsid w:val="1FB77174"/>
    <w:multiLevelType w:val="multilevel"/>
    <w:tmpl w:val="1FB77174"/>
    <w:lvl w:ilvl="0" w:tentative="0">
      <w:start w:val="1"/>
      <w:numFmt w:val="decimal"/>
      <w:suff w:val="space"/>
      <w:lvlText w:val="%1."/>
      <w:lvlJc w:val="left"/>
      <w:pPr>
        <w:ind w:left="720" w:hanging="360"/>
      </w:pPr>
      <w:rPr>
        <w:rFonts w:hint="eastAsia"/>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16">
    <w:nsid w:val="212F4B79"/>
    <w:multiLevelType w:val="multilevel"/>
    <w:tmpl w:val="212F4B7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24BF77EA"/>
    <w:multiLevelType w:val="multilevel"/>
    <w:tmpl w:val="24BF77EA"/>
    <w:lvl w:ilvl="0" w:tentative="0">
      <w:start w:val="1"/>
      <w:numFmt w:val="decimal"/>
      <w:lvlText w:val="%1."/>
      <w:lvlJc w:val="left"/>
      <w:pPr>
        <w:ind w:left="838" w:hanging="420"/>
      </w:pPr>
      <w:rPr>
        <w:rFonts w:hint="default"/>
        <w:lang w:val="de-DE"/>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18">
    <w:nsid w:val="27C56AA0"/>
    <w:multiLevelType w:val="multilevel"/>
    <w:tmpl w:val="27C56AA0"/>
    <w:lvl w:ilvl="0" w:tentative="0">
      <w:start w:val="1"/>
      <w:numFmt w:val="decimal"/>
      <w:lvlText w:val="%1."/>
      <w:lvlJc w:val="left"/>
      <w:pPr>
        <w:ind w:left="838" w:hanging="420"/>
      </w:pPr>
      <w:rPr>
        <w:rFonts w:hint="default"/>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19">
    <w:nsid w:val="31D564FC"/>
    <w:multiLevelType w:val="multilevel"/>
    <w:tmpl w:val="31D564FC"/>
    <w:lvl w:ilvl="0" w:tentative="0">
      <w:start w:val="1"/>
      <w:numFmt w:val="decimal"/>
      <w:suff w:val="space"/>
      <w:lvlText w:val="6.%1"/>
      <w:lvlJc w:val="left"/>
      <w:pPr>
        <w:ind w:left="420" w:hanging="420"/>
      </w:pPr>
      <w:rPr>
        <w:rFonts w:hint="eastAsia"/>
      </w:rPr>
    </w:lvl>
    <w:lvl w:ilvl="1" w:tentative="0">
      <w:start w:val="0"/>
      <w:numFmt w:val="bullet"/>
      <w:lvlText w:val="▲"/>
      <w:lvlJc w:val="left"/>
      <w:pPr>
        <w:ind w:left="780" w:hanging="360"/>
      </w:pPr>
      <w:rPr>
        <w:rFonts w:hint="eastAsia" w:ascii="微软雅黑" w:hAnsi="微软雅黑" w:eastAsia="微软雅黑" w:cs="Calibri Ligh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0424246"/>
    <w:multiLevelType w:val="multilevel"/>
    <w:tmpl w:val="50424246"/>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3774842"/>
    <w:multiLevelType w:val="multilevel"/>
    <w:tmpl w:val="53774842"/>
    <w:lvl w:ilvl="0" w:tentative="0">
      <w:start w:val="1"/>
      <w:numFmt w:val="decimal"/>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B017717"/>
    <w:multiLevelType w:val="multilevel"/>
    <w:tmpl w:val="5B017717"/>
    <w:lvl w:ilvl="0" w:tentative="0">
      <w:start w:val="1"/>
      <w:numFmt w:val="decimal"/>
      <w:lvlText w:val="2.%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BA47BED"/>
    <w:multiLevelType w:val="multilevel"/>
    <w:tmpl w:val="5BA47BED"/>
    <w:lvl w:ilvl="0" w:tentative="0">
      <w:start w:val="1"/>
      <w:numFmt w:val="decimal"/>
      <w:lvlText w:val="4.%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DDD2F87"/>
    <w:multiLevelType w:val="multilevel"/>
    <w:tmpl w:val="5DDD2F87"/>
    <w:lvl w:ilvl="0" w:tentative="0">
      <w:start w:val="1"/>
      <w:numFmt w:val="chineseCountingThousand"/>
      <w:pStyle w:val="2"/>
      <w:lvlText w:val="%1"/>
      <w:lvlJc w:val="left"/>
      <w:pPr>
        <w:ind w:left="0"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5">
    <w:nsid w:val="5E621989"/>
    <w:multiLevelType w:val="multilevel"/>
    <w:tmpl w:val="5E621989"/>
    <w:lvl w:ilvl="0" w:tentative="0">
      <w:start w:val="1"/>
      <w:numFmt w:val="decimal"/>
      <w:suff w:val="space"/>
      <w:lvlText w:val="1.%1"/>
      <w:lvlJc w:val="left"/>
      <w:pPr>
        <w:ind w:left="720" w:hanging="360"/>
      </w:pPr>
      <w:rPr>
        <w:rFonts w:hint="eastAsia"/>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26">
    <w:nsid w:val="61AE27BF"/>
    <w:multiLevelType w:val="multilevel"/>
    <w:tmpl w:val="61AE27BF"/>
    <w:lvl w:ilvl="0" w:tentative="0">
      <w:start w:val="1"/>
      <w:numFmt w:val="decimal"/>
      <w:lvlText w:val="5.%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4B96354"/>
    <w:multiLevelType w:val="multilevel"/>
    <w:tmpl w:val="64B9635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69F11FDF"/>
    <w:multiLevelType w:val="multilevel"/>
    <w:tmpl w:val="69F11FD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F4420EB"/>
    <w:multiLevelType w:val="multilevel"/>
    <w:tmpl w:val="7F4420EB"/>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10"/>
  </w:num>
  <w:num w:numId="3">
    <w:abstractNumId w:val="15"/>
  </w:num>
  <w:num w:numId="4">
    <w:abstractNumId w:val="9"/>
  </w:num>
  <w:num w:numId="5">
    <w:abstractNumId w:val="2"/>
  </w:num>
  <w:num w:numId="6">
    <w:abstractNumId w:val="21"/>
  </w:num>
  <w:num w:numId="7">
    <w:abstractNumId w:val="25"/>
  </w:num>
  <w:num w:numId="8">
    <w:abstractNumId w:val="22"/>
  </w:num>
  <w:num w:numId="9">
    <w:abstractNumId w:val="12"/>
  </w:num>
  <w:num w:numId="10">
    <w:abstractNumId w:val="23"/>
  </w:num>
  <w:num w:numId="11">
    <w:abstractNumId w:val="26"/>
  </w:num>
  <w:num w:numId="12">
    <w:abstractNumId w:val="19"/>
  </w:num>
  <w:num w:numId="13">
    <w:abstractNumId w:val="11"/>
  </w:num>
  <w:num w:numId="14">
    <w:abstractNumId w:val="20"/>
  </w:num>
  <w:num w:numId="15">
    <w:abstractNumId w:val="29"/>
  </w:num>
  <w:num w:numId="16">
    <w:abstractNumId w:val="4"/>
  </w:num>
  <w:num w:numId="17">
    <w:abstractNumId w:val="8"/>
  </w:num>
  <w:num w:numId="18">
    <w:abstractNumId w:val="0"/>
  </w:num>
  <w:num w:numId="19">
    <w:abstractNumId w:val="18"/>
  </w:num>
  <w:num w:numId="20">
    <w:abstractNumId w:val="17"/>
  </w:num>
  <w:num w:numId="21">
    <w:abstractNumId w:val="5"/>
  </w:num>
  <w:num w:numId="22">
    <w:abstractNumId w:val="28"/>
  </w:num>
  <w:num w:numId="23">
    <w:abstractNumId w:val="7"/>
  </w:num>
  <w:num w:numId="24">
    <w:abstractNumId w:val="14"/>
  </w:num>
  <w:num w:numId="25">
    <w:abstractNumId w:val="3"/>
  </w:num>
  <w:num w:numId="26">
    <w:abstractNumId w:val="1"/>
  </w:num>
  <w:num w:numId="27">
    <w:abstractNumId w:val="27"/>
  </w:num>
  <w:num w:numId="28">
    <w:abstractNumId w:val="13"/>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C6"/>
    <w:rsid w:val="0008334A"/>
    <w:rsid w:val="000C28EB"/>
    <w:rsid w:val="000F63E1"/>
    <w:rsid w:val="00165588"/>
    <w:rsid w:val="00285631"/>
    <w:rsid w:val="00297F8B"/>
    <w:rsid w:val="003D3FC6"/>
    <w:rsid w:val="00442061"/>
    <w:rsid w:val="00457482"/>
    <w:rsid w:val="00641ADF"/>
    <w:rsid w:val="00653729"/>
    <w:rsid w:val="00712DBC"/>
    <w:rsid w:val="00724A3E"/>
    <w:rsid w:val="007A10F3"/>
    <w:rsid w:val="007A2F0F"/>
    <w:rsid w:val="007C3A7B"/>
    <w:rsid w:val="008C73BC"/>
    <w:rsid w:val="00983831"/>
    <w:rsid w:val="009E73CA"/>
    <w:rsid w:val="00A533F4"/>
    <w:rsid w:val="00AC29A6"/>
    <w:rsid w:val="00AF5BEE"/>
    <w:rsid w:val="00B23DEC"/>
    <w:rsid w:val="00BA53B2"/>
    <w:rsid w:val="00C51BF6"/>
    <w:rsid w:val="00CE46B6"/>
    <w:rsid w:val="00D85007"/>
    <w:rsid w:val="00EF3356"/>
    <w:rsid w:val="459C0C96"/>
    <w:rsid w:val="63826CD2"/>
    <w:rsid w:val="64692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numPr>
        <w:ilvl w:val="0"/>
        <w:numId w:val="1"/>
      </w:numPr>
      <w:spacing w:before="156" w:after="156"/>
      <w:ind w:left="561" w:hanging="420"/>
      <w:outlineLvl w:val="0"/>
    </w:pPr>
    <w:rPr>
      <w:rFonts w:ascii="宋体" w:hAnsi="宋体" w:eastAsia="宋体" w:cstheme="majorBidi"/>
      <w:b/>
      <w:bCs/>
      <w:color w:val="000000" w:themeColor="text1"/>
      <w:sz w:val="20"/>
      <w:szCs w:val="2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0"/>
    <w:unhideWhenUsed/>
    <w:qFormat/>
    <w:uiPriority w:val="1"/>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4"/>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85858" w:themeColor="text1" w:themeTint="A6"/>
    </w:rPr>
  </w:style>
  <w:style w:type="character" w:default="1" w:styleId="15">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41"/>
    <w:unhideWhenUsed/>
    <w:qFormat/>
    <w:uiPriority w:val="99"/>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5"/>
    <w:link w:val="2"/>
    <w:qFormat/>
    <w:uiPriority w:val="9"/>
    <w:rPr>
      <w:rFonts w:ascii="宋体" w:hAnsi="宋体" w:eastAsia="宋体" w:cstheme="majorBidi"/>
      <w:b/>
      <w:bCs/>
      <w:color w:val="000000" w:themeColor="text1"/>
      <w:sz w:val="20"/>
      <w:szCs w:val="20"/>
    </w:rPr>
  </w:style>
  <w:style w:type="character" w:customStyle="1" w:styleId="18">
    <w:name w:val="标题 2 Char"/>
    <w:basedOn w:val="15"/>
    <w:link w:val="3"/>
    <w:semiHidden/>
    <w:qFormat/>
    <w:uiPriority w:val="9"/>
    <w:rPr>
      <w:rFonts w:asciiTheme="majorHAnsi" w:hAnsiTheme="majorHAnsi" w:eastAsiaTheme="majorEastAsia" w:cstheme="majorBidi"/>
      <w:color w:val="0F4761" w:themeColor="accent1" w:themeShade="BF"/>
      <w:sz w:val="40"/>
      <w:szCs w:val="40"/>
    </w:rPr>
  </w:style>
  <w:style w:type="character" w:customStyle="1" w:styleId="19">
    <w:name w:val="标题 3 Char"/>
    <w:basedOn w:val="15"/>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20">
    <w:name w:val="标题 4 Char"/>
    <w:basedOn w:val="15"/>
    <w:link w:val="5"/>
    <w:semiHidden/>
    <w:qFormat/>
    <w:uiPriority w:val="9"/>
    <w:rPr>
      <w:rFonts w:cstheme="majorBidi"/>
      <w:color w:val="0F4761" w:themeColor="accent1" w:themeShade="BF"/>
      <w:sz w:val="28"/>
      <w:szCs w:val="28"/>
    </w:rPr>
  </w:style>
  <w:style w:type="character" w:customStyle="1" w:styleId="21">
    <w:name w:val="标题 5 Char"/>
    <w:basedOn w:val="15"/>
    <w:link w:val="6"/>
    <w:semiHidden/>
    <w:qFormat/>
    <w:uiPriority w:val="9"/>
    <w:rPr>
      <w:rFonts w:cstheme="majorBidi"/>
      <w:color w:val="0F4761" w:themeColor="accent1" w:themeShade="BF"/>
      <w:sz w:val="24"/>
      <w:szCs w:val="24"/>
    </w:rPr>
  </w:style>
  <w:style w:type="character" w:customStyle="1" w:styleId="22">
    <w:name w:val="标题 6 Char"/>
    <w:basedOn w:val="15"/>
    <w:link w:val="7"/>
    <w:semiHidden/>
    <w:qFormat/>
    <w:uiPriority w:val="9"/>
    <w:rPr>
      <w:rFonts w:cstheme="majorBidi"/>
      <w:b/>
      <w:bCs/>
      <w:color w:val="0F4761" w:themeColor="accent1" w:themeShade="BF"/>
    </w:rPr>
  </w:style>
  <w:style w:type="character" w:customStyle="1" w:styleId="23">
    <w:name w:val="标题 7 Char"/>
    <w:basedOn w:val="15"/>
    <w:link w:val="8"/>
    <w:semiHidden/>
    <w:qFormat/>
    <w:uiPriority w:val="9"/>
    <w:rPr>
      <w:rFonts w:cstheme="majorBidi"/>
      <w:b/>
      <w:bCs/>
      <w:color w:val="585858" w:themeColor="text1" w:themeTint="A6"/>
    </w:rPr>
  </w:style>
  <w:style w:type="character" w:customStyle="1" w:styleId="24">
    <w:name w:val="标题 8 Char"/>
    <w:basedOn w:val="15"/>
    <w:link w:val="9"/>
    <w:semiHidden/>
    <w:qFormat/>
    <w:uiPriority w:val="9"/>
    <w:rPr>
      <w:rFonts w:cstheme="majorBidi"/>
      <w:color w:val="585858" w:themeColor="text1" w:themeTint="A6"/>
    </w:rPr>
  </w:style>
  <w:style w:type="character" w:customStyle="1" w:styleId="25">
    <w:name w:val="标题 9 Char"/>
    <w:basedOn w:val="15"/>
    <w:link w:val="10"/>
    <w:semiHidden/>
    <w:qFormat/>
    <w:uiPriority w:val="9"/>
    <w:rPr>
      <w:rFonts w:eastAsiaTheme="majorEastAsia" w:cstheme="majorBidi"/>
      <w:color w:val="585858" w:themeColor="text1" w:themeTint="A6"/>
    </w:rPr>
  </w:style>
  <w:style w:type="character" w:customStyle="1" w:styleId="26">
    <w:name w:val="标题 Char"/>
    <w:basedOn w:val="15"/>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5"/>
    <w:link w:val="13"/>
    <w:qFormat/>
    <w:uiPriority w:val="11"/>
    <w:rPr>
      <w:rFonts w:asciiTheme="majorHAnsi" w:hAnsiTheme="majorHAnsi" w:eastAsiaTheme="majorEastAsia" w:cstheme="majorBidi"/>
      <w:color w:val="585858" w:themeColor="text1" w:themeTint="A6"/>
      <w:spacing w:val="15"/>
      <w:sz w:val="28"/>
      <w:szCs w:val="28"/>
    </w:rPr>
  </w:style>
  <w:style w:type="paragraph" w:styleId="28">
    <w:name w:val="Quote"/>
    <w:basedOn w:val="1"/>
    <w:next w:val="1"/>
    <w:link w:val="29"/>
    <w:qFormat/>
    <w:uiPriority w:val="29"/>
    <w:pPr>
      <w:spacing w:before="160" w:after="160"/>
      <w:jc w:val="center"/>
    </w:pPr>
    <w:rPr>
      <w:i/>
      <w:iCs/>
      <w:color w:val="3F3F3F" w:themeColor="text1" w:themeTint="BF"/>
    </w:rPr>
  </w:style>
  <w:style w:type="character" w:customStyle="1" w:styleId="29">
    <w:name w:val="引用 Char"/>
    <w:basedOn w:val="15"/>
    <w:link w:val="28"/>
    <w:qFormat/>
    <w:uiPriority w:val="29"/>
    <w:rPr>
      <w:i/>
      <w:iCs/>
      <w:color w:val="3F3F3F" w:themeColor="text1" w:themeTint="BF"/>
    </w:rPr>
  </w:style>
  <w:style w:type="paragraph" w:styleId="30">
    <w:name w:val="List Paragraph"/>
    <w:basedOn w:val="1"/>
    <w:link w:val="35"/>
    <w:qFormat/>
    <w:uiPriority w:val="34"/>
    <w:pPr>
      <w:ind w:left="720"/>
      <w:contextualSpacing/>
    </w:pPr>
  </w:style>
  <w:style w:type="character" w:customStyle="1" w:styleId="31">
    <w:name w:val="明显强调1"/>
    <w:basedOn w:val="15"/>
    <w:qFormat/>
    <w:uiPriority w:val="21"/>
    <w:rPr>
      <w:i/>
      <w:iCs/>
      <w:color w:val="0F4761"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3">
    <w:name w:val="明显引用 Char"/>
    <w:basedOn w:val="15"/>
    <w:link w:val="32"/>
    <w:qFormat/>
    <w:uiPriority w:val="30"/>
    <w:rPr>
      <w:i/>
      <w:iCs/>
      <w:color w:val="0F4761" w:themeColor="accent1" w:themeShade="BF"/>
    </w:rPr>
  </w:style>
  <w:style w:type="character" w:customStyle="1" w:styleId="34">
    <w:name w:val="明显参考1"/>
    <w:basedOn w:val="15"/>
    <w:qFormat/>
    <w:uiPriority w:val="32"/>
    <w:rPr>
      <w:b/>
      <w:bCs/>
      <w:smallCaps/>
      <w:color w:val="0F4761" w:themeColor="accent1" w:themeShade="BF"/>
      <w:spacing w:val="5"/>
    </w:rPr>
  </w:style>
  <w:style w:type="character" w:customStyle="1" w:styleId="35">
    <w:name w:val="列出段落 Char"/>
    <w:link w:val="30"/>
    <w:qFormat/>
    <w:uiPriority w:val="34"/>
  </w:style>
  <w:style w:type="paragraph" w:customStyle="1" w:styleId="36">
    <w:name w:val="列出段落2"/>
    <w:basedOn w:val="1"/>
    <w:qFormat/>
    <w:uiPriority w:val="34"/>
    <w:pPr>
      <w:widowControl/>
      <w:snapToGrid w:val="0"/>
      <w:spacing w:before="120" w:after="120" w:line="360" w:lineRule="auto"/>
      <w:ind w:firstLine="420"/>
    </w:pPr>
    <w:rPr>
      <w:rFonts w:ascii="Calibri Light" w:hAnsi="Calibri Light" w:eastAsia="微软雅黑" w:cs="Calibri Light"/>
      <w:kern w:val="0"/>
      <w:sz w:val="22"/>
      <w:lang w:eastAsia="de-DE"/>
    </w:rPr>
  </w:style>
  <w:style w:type="character" w:customStyle="1" w:styleId="37">
    <w:name w:val="cf01"/>
    <w:basedOn w:val="15"/>
    <w:qFormat/>
    <w:uiPriority w:val="0"/>
    <w:rPr>
      <w:rFonts w:hint="eastAsia" w:ascii="Microsoft YaHei UI" w:hAnsi="Microsoft YaHei UI" w:eastAsia="Microsoft YaHei UI"/>
      <w:sz w:val="18"/>
      <w:szCs w:val="18"/>
    </w:rPr>
  </w:style>
  <w:style w:type="paragraph" w:customStyle="1" w:styleId="38">
    <w:name w:val="List Paragraph1"/>
    <w:basedOn w:val="1"/>
    <w:qFormat/>
    <w:uiPriority w:val="0"/>
    <w:pPr>
      <w:ind w:firstLine="420" w:firstLineChars="200"/>
    </w:pPr>
    <w:rPr>
      <w:rFonts w:ascii="Calibri" w:hAnsi="Calibri" w:eastAsia="宋体" w:cs="Calibri"/>
      <w:szCs w:val="24"/>
    </w:rPr>
  </w:style>
  <w:style w:type="paragraph" w:customStyle="1" w:styleId="39">
    <w:name w:val="列出段落1"/>
    <w:basedOn w:val="1"/>
    <w:qFormat/>
    <w:uiPriority w:val="0"/>
    <w:pPr>
      <w:ind w:firstLine="420" w:firstLineChars="200"/>
    </w:pPr>
    <w:rPr>
      <w:rFonts w:ascii="Calibri" w:hAnsi="Calibri" w:eastAsia="宋体" w:cs="Calibri"/>
      <w:szCs w:val="24"/>
    </w:rPr>
  </w:style>
  <w:style w:type="character" w:customStyle="1" w:styleId="40">
    <w:name w:val="页眉 Char"/>
    <w:basedOn w:val="15"/>
    <w:link w:val="12"/>
    <w:qFormat/>
    <w:uiPriority w:val="99"/>
    <w:rPr>
      <w:sz w:val="18"/>
      <w:szCs w:val="18"/>
    </w:rPr>
  </w:style>
  <w:style w:type="character" w:customStyle="1" w:styleId="41">
    <w:name w:val="页脚 Char"/>
    <w:basedOn w:val="15"/>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2374</Words>
  <Characters>13533</Characters>
  <Lines>112</Lines>
  <Paragraphs>31</Paragraphs>
  <TotalTime>2</TotalTime>
  <ScaleCrop>false</ScaleCrop>
  <LinksUpToDate>false</LinksUpToDate>
  <CharactersWithSpaces>15876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2025-05-21T01:48:00Z</dcterms:created>
  <dc:creator>Vincent</dc:creator>
  <cp:lastModifiedBy>jgkxhq</cp:lastModifiedBy>
  <dcterms:modified xsi:type="dcterms:W3CDTF">2025-05-21T01:57:50Z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eyJoZGlkIjoiZmJkNTBmNDE2M2FlNTQ1ZTc4NmNkMjcwMTUzZDI2ZTgiLCJ1c2VySWQiOiI1MjAxNzE0MzEifQ==</vt:lpwstr>
  </property>
  <property fmtid="{D5CDD505-2E9C-101B-9397-08002B2CF9AE}" pid="3" name="KSOProductBuildVer">
    <vt:lpwstr>2052-10.8.2.7090</vt:lpwstr>
  </property>
  <property fmtid="{D5CDD505-2E9C-101B-9397-08002B2CF9AE}" pid="4" name="ICV">
    <vt:lpwstr>624ED0A683874A1DA9E8B37A9B720EC6_12</vt:lpwstr>
  </property>
</Properties>
</file>